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2FB" w:rsidRDefault="00891F3E" w:rsidP="00BE12FB">
      <w:pPr>
        <w:spacing w:line="360" w:lineRule="auto"/>
        <w:jc w:val="both"/>
        <w:rPr>
          <w:szCs w:val="24"/>
        </w:rPr>
      </w:pPr>
      <w:r w:rsidRPr="00836481">
        <w:rPr>
          <w:szCs w:val="24"/>
        </w:rPr>
        <w:t xml:space="preserve">Ο τομέας της υγείας ανέκαθεν αποτελούσε </w:t>
      </w:r>
      <w:r w:rsidR="009F7379" w:rsidRPr="00836481">
        <w:rPr>
          <w:szCs w:val="24"/>
        </w:rPr>
        <w:t xml:space="preserve">μια σημαντική </w:t>
      </w:r>
      <w:r w:rsidR="0025624C">
        <w:rPr>
          <w:szCs w:val="24"/>
        </w:rPr>
        <w:t xml:space="preserve">προτεραιότητα αλλά και </w:t>
      </w:r>
      <w:r w:rsidR="009F7379" w:rsidRPr="00836481">
        <w:rPr>
          <w:szCs w:val="24"/>
        </w:rPr>
        <w:t xml:space="preserve">επιβάρυνση για τους  κρατικούς προϋπολογισμούς σε παγκόσμιο επίπεδο. </w:t>
      </w:r>
      <w:r w:rsidR="00BE12FB">
        <w:rPr>
          <w:szCs w:val="24"/>
        </w:rPr>
        <w:t xml:space="preserve">Αυτό συμβαίνει γιατί </w:t>
      </w:r>
      <w:r w:rsidR="00BE12FB" w:rsidRPr="007C2138">
        <w:rPr>
          <w:szCs w:val="24"/>
        </w:rPr>
        <w:t xml:space="preserve">έχει </w:t>
      </w:r>
      <w:r w:rsidR="00BE12FB">
        <w:rPr>
          <w:szCs w:val="24"/>
        </w:rPr>
        <w:t xml:space="preserve">πολλές ιδιαιτερότητες, που τον  </w:t>
      </w:r>
      <w:r w:rsidR="00BE12FB" w:rsidRPr="007C2138">
        <w:rPr>
          <w:szCs w:val="24"/>
        </w:rPr>
        <w:t>διαφοροποιούν από άλλους τομείς οικονομι</w:t>
      </w:r>
      <w:r w:rsidR="00BE12FB">
        <w:rPr>
          <w:szCs w:val="24"/>
        </w:rPr>
        <w:t>κής δραστηριότητας όπου επικρα</w:t>
      </w:r>
      <w:r w:rsidR="00BE12FB" w:rsidRPr="007C2138">
        <w:rPr>
          <w:szCs w:val="24"/>
        </w:rPr>
        <w:t xml:space="preserve">τεί περισσότερο το ανταγωνιστικό μοντέλο της </w:t>
      </w:r>
      <w:r w:rsidR="00BE12FB">
        <w:rPr>
          <w:szCs w:val="24"/>
        </w:rPr>
        <w:t>ελεύθερης αγοράς. Οι ιδιαιτερό</w:t>
      </w:r>
      <w:r w:rsidR="00BE12FB" w:rsidRPr="007C2138">
        <w:rPr>
          <w:szCs w:val="24"/>
        </w:rPr>
        <w:t>τητες αυτές υπογραμμίζουν την ανάγκη για εξειδίκευση,</w:t>
      </w:r>
      <w:r w:rsidR="00BE12FB">
        <w:rPr>
          <w:szCs w:val="24"/>
        </w:rPr>
        <w:t xml:space="preserve"> ειδική μελέτη και </w:t>
      </w:r>
      <w:r w:rsidR="00BE12FB" w:rsidRPr="007C2138">
        <w:rPr>
          <w:szCs w:val="24"/>
        </w:rPr>
        <w:t>εφαρμογή των οικονομικών στον χώρο αυτό.</w:t>
      </w:r>
    </w:p>
    <w:p w:rsidR="00F930BC" w:rsidRDefault="00BE12FB" w:rsidP="00F930BC">
      <w:pPr>
        <w:spacing w:line="360" w:lineRule="auto"/>
        <w:jc w:val="both"/>
        <w:rPr>
          <w:szCs w:val="24"/>
        </w:rPr>
      </w:pPr>
      <w:r w:rsidRPr="00836481">
        <w:rPr>
          <w:szCs w:val="24"/>
        </w:rPr>
        <w:t xml:space="preserve">Τα οικονομικά της υγείας </w:t>
      </w:r>
      <w:r w:rsidR="00224751">
        <w:rPr>
          <w:szCs w:val="24"/>
        </w:rPr>
        <w:t>και συγκεκριμένα η φαρμακοοικονομία αποτελεί ένα δόκιμο εργαλείο προς αυτή την κατεύθυνση και χρησιμοποιείται</w:t>
      </w:r>
      <w:r w:rsidRPr="00836481">
        <w:rPr>
          <w:szCs w:val="24"/>
        </w:rPr>
        <w:t xml:space="preserve"> ολοένα και περισσότερο </w:t>
      </w:r>
      <w:r>
        <w:rPr>
          <w:szCs w:val="24"/>
        </w:rPr>
        <w:t xml:space="preserve">από σύγχρονα Ευρωπαϊκά κράτη </w:t>
      </w:r>
      <w:r w:rsidRPr="00836481">
        <w:rPr>
          <w:szCs w:val="24"/>
        </w:rPr>
        <w:t>στις διαδικασίες λήψης απόφασης</w:t>
      </w:r>
      <w:r w:rsidR="00224751">
        <w:rPr>
          <w:szCs w:val="24"/>
        </w:rPr>
        <w:t xml:space="preserve"> είτε </w:t>
      </w:r>
      <w:r w:rsidR="00840206">
        <w:rPr>
          <w:szCs w:val="24"/>
        </w:rPr>
        <w:t xml:space="preserve">για την </w:t>
      </w:r>
      <w:r w:rsidR="00036AD5">
        <w:rPr>
          <w:szCs w:val="24"/>
        </w:rPr>
        <w:t>τιμολόγηση</w:t>
      </w:r>
      <w:r w:rsidR="00224751">
        <w:rPr>
          <w:szCs w:val="24"/>
        </w:rPr>
        <w:t xml:space="preserve"> είτε</w:t>
      </w:r>
      <w:r w:rsidR="00840206">
        <w:rPr>
          <w:szCs w:val="24"/>
        </w:rPr>
        <w:t xml:space="preserve"> για την αποζημίωση</w:t>
      </w:r>
      <w:r w:rsidR="00224751" w:rsidRPr="00224751">
        <w:rPr>
          <w:szCs w:val="24"/>
        </w:rPr>
        <w:t xml:space="preserve"> </w:t>
      </w:r>
      <w:r w:rsidR="00224751">
        <w:rPr>
          <w:szCs w:val="24"/>
        </w:rPr>
        <w:t>φαρμακευτικών θεραπειών. Γ</w:t>
      </w:r>
      <w:r>
        <w:rPr>
          <w:szCs w:val="24"/>
        </w:rPr>
        <w:t xml:space="preserve">ια το λόγο αυτό </w:t>
      </w:r>
      <w:r w:rsidR="00836481" w:rsidRPr="00836481">
        <w:rPr>
          <w:szCs w:val="24"/>
        </w:rPr>
        <w:t xml:space="preserve">συστήνονται σε ευρωπαϊκό, και όχι μόνο, επίπεδο οργανισμοί αξιολόγησης τεχνολογίας υγείας με χαρακτηριστικότερο παράδειγμα το NICE (National Institute for Clinical Excellence) στο </w:t>
      </w:r>
      <w:r>
        <w:rPr>
          <w:szCs w:val="24"/>
        </w:rPr>
        <w:t>Ηνωμένο Βασίλειο</w:t>
      </w:r>
      <w:r w:rsidR="00840206">
        <w:rPr>
          <w:szCs w:val="24"/>
        </w:rPr>
        <w:t>. Γενικά,</w:t>
      </w:r>
      <w:r w:rsidR="00F930BC">
        <w:rPr>
          <w:szCs w:val="24"/>
        </w:rPr>
        <w:t xml:space="preserve"> </w:t>
      </w:r>
      <w:r w:rsidR="00F930BC">
        <w:rPr>
          <w:szCs w:val="24"/>
          <w:lang w:val="en-US"/>
        </w:rPr>
        <w:t>αυτο</w:t>
      </w:r>
      <w:r w:rsidR="00F930BC">
        <w:rPr>
          <w:szCs w:val="24"/>
        </w:rPr>
        <w:t>ί οι οργανισμοί καλούνται να απαντήσουν στα παρακάτω ερωτήματα:</w:t>
      </w:r>
    </w:p>
    <w:p w:rsidR="00224751" w:rsidRPr="00F930BC" w:rsidRDefault="00224751" w:rsidP="00F930BC">
      <w:pPr>
        <w:pStyle w:val="ListParagraph"/>
        <w:numPr>
          <w:ilvl w:val="0"/>
          <w:numId w:val="1"/>
        </w:numPr>
        <w:spacing w:line="360" w:lineRule="auto"/>
        <w:jc w:val="both"/>
      </w:pPr>
      <w:r w:rsidRPr="00224751">
        <w:rPr>
          <w:rFonts w:hint="eastAsia"/>
        </w:rPr>
        <w:t>Σε σύγκριση με τις θ</w:t>
      </w:r>
      <w:r w:rsidR="0025624C">
        <w:rPr>
          <w:rFonts w:hint="eastAsia"/>
        </w:rPr>
        <w:t>εραπείες που ήδη χρησιμοποιούμε</w:t>
      </w:r>
      <w:r w:rsidRPr="00F930BC">
        <w:rPr>
          <w:rFonts w:hint="eastAsia"/>
        </w:rPr>
        <w:t xml:space="preserve">, </w:t>
      </w:r>
      <w:r w:rsidRPr="00224751">
        <w:rPr>
          <w:rFonts w:hint="eastAsia"/>
        </w:rPr>
        <w:t xml:space="preserve">πως η </w:t>
      </w:r>
      <w:r w:rsidRPr="00F930BC">
        <w:t>υπ</w:t>
      </w:r>
      <w:r>
        <w:t xml:space="preserve">ό αξιολόγηση </w:t>
      </w:r>
      <w:r w:rsidRPr="00224751">
        <w:rPr>
          <w:rFonts w:hint="eastAsia"/>
        </w:rPr>
        <w:t>θεραπεία επηρεάζει τις κλινικές εκβάσεις και το συνολικό κόστος θεραπείας</w:t>
      </w:r>
      <w:r w:rsidRPr="00F930BC">
        <w:rPr>
          <w:rFonts w:hint="eastAsia"/>
        </w:rPr>
        <w:t xml:space="preserve">; </w:t>
      </w:r>
    </w:p>
    <w:p w:rsidR="00224751" w:rsidRPr="00224751" w:rsidRDefault="00272F93" w:rsidP="00224751">
      <w:pPr>
        <w:pStyle w:val="ListParagraph"/>
        <w:numPr>
          <w:ilvl w:val="0"/>
          <w:numId w:val="1"/>
        </w:numPr>
        <w:spacing w:line="360" w:lineRule="auto"/>
        <w:jc w:val="both"/>
        <w:rPr>
          <w:szCs w:val="24"/>
        </w:rPr>
      </w:pPr>
      <w:r>
        <w:rPr>
          <w:rFonts w:hint="eastAsia"/>
        </w:rPr>
        <w:t xml:space="preserve">Αξίζει να  </w:t>
      </w:r>
      <w:r>
        <w:t>διαθέσουμε πόρους</w:t>
      </w:r>
      <w:r w:rsidR="00224751" w:rsidRPr="00224751">
        <w:rPr>
          <w:rFonts w:hint="eastAsia"/>
        </w:rPr>
        <w:t xml:space="preserve"> </w:t>
      </w:r>
      <w:r>
        <w:t xml:space="preserve">για </w:t>
      </w:r>
      <w:r w:rsidR="00224751" w:rsidRPr="00224751">
        <w:rPr>
          <w:rFonts w:hint="eastAsia"/>
        </w:rPr>
        <w:t>αυτή την θεραπεία</w:t>
      </w:r>
      <w:r w:rsidR="00224751" w:rsidRPr="00224751">
        <w:rPr>
          <w:rFonts w:hint="eastAsia"/>
          <w:lang w:val="en-US"/>
        </w:rPr>
        <w:t>;</w:t>
      </w:r>
    </w:p>
    <w:p w:rsidR="00272F93" w:rsidRDefault="0025624C" w:rsidP="00836481">
      <w:pPr>
        <w:spacing w:line="360" w:lineRule="auto"/>
        <w:jc w:val="both"/>
      </w:pPr>
      <w:r>
        <w:t>Με άλλα λόγια</w:t>
      </w:r>
      <w:r w:rsidR="00840206">
        <w:t>,</w:t>
      </w:r>
      <w:r w:rsidR="00F930BC">
        <w:t xml:space="preserve"> κατά την</w:t>
      </w:r>
      <w:r w:rsidR="00BE12FB">
        <w:t xml:space="preserve"> αξιολόγηση </w:t>
      </w:r>
      <w:r w:rsidR="00F930BC">
        <w:t>λαμβάνονται</w:t>
      </w:r>
      <w:r w:rsidR="00272F93">
        <w:t xml:space="preserve"> υπόψιν </w:t>
      </w:r>
      <w:r w:rsidR="00F930BC">
        <w:t xml:space="preserve">τόσο </w:t>
      </w:r>
      <w:r w:rsidR="00272F93">
        <w:t>δεδομένα κλινικής αποτελεσματικότητας</w:t>
      </w:r>
      <w:r w:rsidR="00F930BC">
        <w:t xml:space="preserve"> όσο</w:t>
      </w:r>
      <w:r w:rsidR="00272F93">
        <w:t xml:space="preserve"> και κόστους. </w:t>
      </w:r>
      <w:r w:rsidR="00272F93">
        <w:rPr>
          <w:szCs w:val="24"/>
        </w:rPr>
        <w:t xml:space="preserve">Οι τυχαιοποιημένες κλινικές δοκιμές αποτελούν το χρυσό κανόνα για τον προσδιορισμό της αποτελεσματικότητας των θεραπειών. Ωστόσο, </w:t>
      </w:r>
      <w:r w:rsidR="00BD7B95">
        <w:rPr>
          <w:szCs w:val="24"/>
        </w:rPr>
        <w:t xml:space="preserve">θα </w:t>
      </w:r>
      <w:r w:rsidR="00272F93">
        <w:rPr>
          <w:szCs w:val="24"/>
        </w:rPr>
        <w:t xml:space="preserve">πρέπει να </w:t>
      </w:r>
      <w:r w:rsidR="00BD7B95">
        <w:rPr>
          <w:szCs w:val="24"/>
        </w:rPr>
        <w:t xml:space="preserve">επιβεβαιώνεται </w:t>
      </w:r>
      <w:r w:rsidR="00272F93">
        <w:rPr>
          <w:szCs w:val="24"/>
        </w:rPr>
        <w:t xml:space="preserve">ότι </w:t>
      </w:r>
      <w:r w:rsidR="00BD7B95">
        <w:rPr>
          <w:szCs w:val="24"/>
        </w:rPr>
        <w:t xml:space="preserve">οι θεραπείες έχουν παρόμοια αποτελέσματα στην πραγματική κλινική πρακτική με αυτά που παρατηρήθηκαν στις τυχαιοποιημένες κλινικές μελέτες. </w:t>
      </w:r>
      <w:r w:rsidR="00BD7B95" w:rsidRPr="00BD7B95">
        <w:rPr>
          <w:szCs w:val="24"/>
        </w:rPr>
        <w:t>Οι μη παρεμβατικές μελέτες</w:t>
      </w:r>
      <w:r w:rsidR="00BD7B95">
        <w:rPr>
          <w:szCs w:val="24"/>
        </w:rPr>
        <w:t xml:space="preserve"> λόγω της υψηλής εξωτερικής εγκυρότητας παρέχουν τέτοια δεδομένα</w:t>
      </w:r>
      <w:r w:rsidR="00F930BC">
        <w:rPr>
          <w:szCs w:val="24"/>
        </w:rPr>
        <w:t>,</w:t>
      </w:r>
      <w:r w:rsidR="00BD7B95">
        <w:rPr>
          <w:szCs w:val="24"/>
        </w:rPr>
        <w:t xml:space="preserve"> και χρησιμοποιούνται όλο και περισσότερο ως πρόσθετη πληροφορία στην διαδικασία της φαρμαοικονομικής αξιολόγησης</w:t>
      </w:r>
      <w:r w:rsidR="00BD7B95" w:rsidRPr="00BD7B95">
        <w:rPr>
          <w:szCs w:val="24"/>
        </w:rPr>
        <w:t>.</w:t>
      </w:r>
    </w:p>
    <w:p w:rsidR="00836481" w:rsidRDefault="0025624C" w:rsidP="00836481">
      <w:pPr>
        <w:spacing w:line="360" w:lineRule="auto"/>
        <w:jc w:val="both"/>
      </w:pPr>
      <w:r>
        <w:t>Αναφορικά με το</w:t>
      </w:r>
      <w:r w:rsidR="00BE12FB">
        <w:t xml:space="preserve"> κόστος </w:t>
      </w:r>
      <w:r>
        <w:t>ο δόκιμος τρόπος αξιολόγησης είναι σε επίπεδο συνολικού κόστους</w:t>
      </w:r>
      <w:r w:rsidR="00BE12FB">
        <w:t xml:space="preserve"> αντιμετώπισης του ασθενούς και όχι μόνο το κόστος αγοράς του φαρμάκου με δεδομένο ότι, μία υπηρεσία υγείας δεν καταναλώνεται ανάλογα με το πόσο κοστίζει αλλά ανάλογα με το πόσο θα ωφελήσει.</w:t>
      </w:r>
      <w:r w:rsidR="00272F93">
        <w:t xml:space="preserve"> </w:t>
      </w:r>
      <w:r w:rsidR="00F21F5F" w:rsidRPr="00840206">
        <w:t xml:space="preserve">Το όφελος που προκύπτει από την </w:t>
      </w:r>
      <w:r w:rsidR="00F21F5F" w:rsidRPr="00840206">
        <w:lastRenderedPageBreak/>
        <w:t xml:space="preserve">κατανάλωση των υπηρεσιών υγείας εστιάζεται κυρίως σε τρία πράγματα. </w:t>
      </w:r>
      <w:r>
        <w:t xml:space="preserve">(α) </w:t>
      </w:r>
      <w:r w:rsidR="00F21F5F" w:rsidRPr="00840206">
        <w:t xml:space="preserve">Στην κλινική αποτελεσματικότητα, </w:t>
      </w:r>
      <w:r>
        <w:t xml:space="preserve">(β) </w:t>
      </w:r>
      <w:r w:rsidR="00F21F5F" w:rsidRPr="00840206">
        <w:t xml:space="preserve">στη βελτίωση της ποιότητας ζωής και της καθημερινής ζωής του ασθενούς και </w:t>
      </w:r>
      <w:r>
        <w:t xml:space="preserve">(γ) </w:t>
      </w:r>
      <w:r w:rsidR="00F21F5F" w:rsidRPr="00840206">
        <w:t>στο κατά πόσο η κάθε υπηρεσία υγείας μειώνει την περαιτέρω κατανάλωση υγειονομικών πόρων.</w:t>
      </w:r>
    </w:p>
    <w:p w:rsidR="00B70896" w:rsidRDefault="00F21F5F" w:rsidP="00836481">
      <w:pPr>
        <w:spacing w:line="360" w:lineRule="auto"/>
        <w:jc w:val="both"/>
      </w:pPr>
      <w:r>
        <w:t>Πρόσφατα</w:t>
      </w:r>
      <w:r w:rsidR="00346304">
        <w:t xml:space="preserve"> στην Ελλάδα διενεργήθηκε μια Πανελλαδική μη παρεμβατική μελέτη παρατήρησης σε 14 Μονάδες Εντατικής Θεραπείας</w:t>
      </w:r>
      <w:r w:rsidR="00B70896">
        <w:t xml:space="preserve"> (Μ.Ε.Θ)</w:t>
      </w:r>
      <w:r w:rsidR="00346304">
        <w:t xml:space="preserve"> που αποσκοπούσε </w:t>
      </w:r>
      <w:r w:rsidR="0025624C">
        <w:t xml:space="preserve">(α) </w:t>
      </w:r>
      <w:r w:rsidR="00346304">
        <w:t>στην ε</w:t>
      </w:r>
      <w:r w:rsidR="00346304" w:rsidRPr="00346304">
        <w:t>κτίμηση του άμεσου ιατρικού κόστους της διαχείρισης ασθενών υπό αντιμυκητιασικ</w:t>
      </w:r>
      <w:r w:rsidR="00346304">
        <w:t>ή θεραπεί</w:t>
      </w:r>
      <w:r>
        <w:t xml:space="preserve">α στις Ελληνικές Μ.Ε.Θ, </w:t>
      </w:r>
      <w:r w:rsidR="0025624C">
        <w:t xml:space="preserve">(β) </w:t>
      </w:r>
      <w:r w:rsidR="00080FB6">
        <w:t>στην αναγνώριση των συντελεστώ</w:t>
      </w:r>
      <w:r w:rsidR="00840206">
        <w:t>ν</w:t>
      </w:r>
      <w:r w:rsidR="00080FB6">
        <w:t xml:space="preserve"> που επιβαρύνου</w:t>
      </w:r>
      <w:r w:rsidR="00840206">
        <w:t>ν σημαντικά τ</w:t>
      </w:r>
      <w:r w:rsidR="00080FB6">
        <w:t xml:space="preserve">ο συνολικό κόστος, </w:t>
      </w:r>
      <w:r>
        <w:t>και</w:t>
      </w:r>
      <w:r w:rsidR="00080FB6">
        <w:t xml:space="preserve"> </w:t>
      </w:r>
      <w:r w:rsidR="0025624C">
        <w:t xml:space="preserve">(γ) </w:t>
      </w:r>
      <w:r w:rsidR="00080FB6">
        <w:t>στην αξιολόγηση</w:t>
      </w:r>
      <w:r w:rsidR="00B70896">
        <w:t xml:space="preserve"> της χρήσης των διαθέσιμων θεραπειών με γνώμονα τη σχέση κόστους/αποτελεσματικότητας σε συνθήκες καθημερινής κλινικής πρακτικής.</w:t>
      </w:r>
    </w:p>
    <w:p w:rsidR="00B70896" w:rsidRDefault="0025624C" w:rsidP="00224751">
      <w:pPr>
        <w:spacing w:line="360" w:lineRule="auto"/>
        <w:jc w:val="both"/>
        <w:rPr>
          <w:szCs w:val="24"/>
        </w:rPr>
      </w:pPr>
      <w:r>
        <w:rPr>
          <w:szCs w:val="24"/>
        </w:rPr>
        <w:t>Τα αποτελέσματα της μελέτης ήταν τα εξής</w:t>
      </w:r>
      <w:r>
        <w:rPr>
          <w:szCs w:val="24"/>
          <w:lang w:val="en-US"/>
        </w:rPr>
        <w:t xml:space="preserve">: </w:t>
      </w:r>
      <w:r w:rsidR="00B70896">
        <w:rPr>
          <w:szCs w:val="24"/>
        </w:rPr>
        <w:t>Συνολικά εντάχθηκαν</w:t>
      </w:r>
      <w:r w:rsidR="00B70896" w:rsidRPr="00B70896">
        <w:rPr>
          <w:szCs w:val="24"/>
        </w:rPr>
        <w:t xml:space="preserve"> 155 ασθενείς</w:t>
      </w:r>
      <w:r w:rsidR="00080FB6">
        <w:rPr>
          <w:szCs w:val="24"/>
        </w:rPr>
        <w:t xml:space="preserve"> στην μελέτη</w:t>
      </w:r>
      <w:r w:rsidR="00B70896">
        <w:rPr>
          <w:szCs w:val="24"/>
        </w:rPr>
        <w:t xml:space="preserve"> σε</w:t>
      </w:r>
      <w:r>
        <w:rPr>
          <w:szCs w:val="24"/>
        </w:rPr>
        <w:t xml:space="preserve"> διάστημα περίπου </w:t>
      </w:r>
      <w:r w:rsidR="00B70896">
        <w:rPr>
          <w:szCs w:val="24"/>
        </w:rPr>
        <w:t>7 μηνών</w:t>
      </w:r>
      <w:r w:rsidR="00B70896" w:rsidRPr="00B70896">
        <w:rPr>
          <w:szCs w:val="24"/>
        </w:rPr>
        <w:t>. 68</w:t>
      </w:r>
      <w:r>
        <w:rPr>
          <w:szCs w:val="24"/>
        </w:rPr>
        <w:t>,0</w:t>
      </w:r>
      <w:r w:rsidR="00B70896" w:rsidRPr="00B70896">
        <w:rPr>
          <w:szCs w:val="24"/>
        </w:rPr>
        <w:t>% των ασθενών παρουσίασε τουλάχιστον 5 προδιαθεσικούς παράγοντες για ανάπτυξη μυκητιασικής λοίμωξης πριν την έναρξη</w:t>
      </w:r>
      <w:r w:rsidR="00B70896">
        <w:rPr>
          <w:szCs w:val="24"/>
        </w:rPr>
        <w:t xml:space="preserve"> θεραπείας</w:t>
      </w:r>
      <w:r w:rsidR="00B70896" w:rsidRPr="00B70896">
        <w:rPr>
          <w:szCs w:val="24"/>
        </w:rPr>
        <w:t xml:space="preserve">. Ο διάμεσος χρόνος μέχρι την έναρξη </w:t>
      </w:r>
      <w:r w:rsidR="00B70896">
        <w:rPr>
          <w:szCs w:val="24"/>
        </w:rPr>
        <w:t xml:space="preserve">αντιμυκητιασιακής θεραπείας </w:t>
      </w:r>
      <w:r w:rsidR="00B70896" w:rsidRPr="00B70896">
        <w:rPr>
          <w:szCs w:val="24"/>
        </w:rPr>
        <w:t xml:space="preserve">ήταν 6 ημέρες μετά την εισαγωγή στη ΜΕΘ, ενώ η μέση </w:t>
      </w:r>
      <w:r w:rsidR="00B70896">
        <w:rPr>
          <w:szCs w:val="24"/>
        </w:rPr>
        <w:t xml:space="preserve">παραμονή στην Μ.Ε.Θ </w:t>
      </w:r>
      <w:r w:rsidR="00B70896" w:rsidRPr="00B70896">
        <w:rPr>
          <w:szCs w:val="24"/>
        </w:rPr>
        <w:t>ήταν 31 ημέρες. 49,7% των ασθενών έλαβαν</w:t>
      </w:r>
      <w:r w:rsidR="00B70896">
        <w:rPr>
          <w:szCs w:val="24"/>
        </w:rPr>
        <w:t xml:space="preserve"> εμπειρική</w:t>
      </w:r>
      <w:r w:rsidR="00B70896" w:rsidRPr="00B70896">
        <w:rPr>
          <w:szCs w:val="24"/>
        </w:rPr>
        <w:t xml:space="preserve"> θεραπεία </w:t>
      </w:r>
      <w:r w:rsidR="00B70896">
        <w:rPr>
          <w:szCs w:val="24"/>
        </w:rPr>
        <w:t>ενώ προφύλαξη, πρώιμη</w:t>
      </w:r>
      <w:r w:rsidR="00B70896" w:rsidRPr="00B70896">
        <w:rPr>
          <w:szCs w:val="24"/>
        </w:rPr>
        <w:t xml:space="preserve"> και οριστική </w:t>
      </w:r>
      <w:r w:rsidR="00B70896">
        <w:rPr>
          <w:szCs w:val="24"/>
        </w:rPr>
        <w:t xml:space="preserve">θεραπεία έλαβαν το </w:t>
      </w:r>
      <w:r w:rsidR="00B70896" w:rsidRPr="00B70896">
        <w:rPr>
          <w:szCs w:val="24"/>
        </w:rPr>
        <w:t xml:space="preserve">6,4%, 20,0% και 23,9% του πληθυσμού της μελέτης, αντίστοιχα. </w:t>
      </w:r>
      <w:r w:rsidR="00B70896">
        <w:rPr>
          <w:szCs w:val="24"/>
        </w:rPr>
        <w:t xml:space="preserve">Οι </w:t>
      </w:r>
      <w:r>
        <w:rPr>
          <w:szCs w:val="24"/>
        </w:rPr>
        <w:t>Εχινοκανδίνες (57,3%)</w:t>
      </w:r>
      <w:r>
        <w:rPr>
          <w:szCs w:val="24"/>
          <w:lang w:val="en-US"/>
        </w:rPr>
        <w:t xml:space="preserve"> </w:t>
      </w:r>
      <w:r>
        <w:rPr>
          <w:szCs w:val="24"/>
        </w:rPr>
        <w:t>και</w:t>
      </w:r>
      <w:r w:rsidR="00B70896" w:rsidRPr="00B70896">
        <w:rPr>
          <w:szCs w:val="24"/>
        </w:rPr>
        <w:t xml:space="preserve"> </w:t>
      </w:r>
      <w:r w:rsidR="00B70896">
        <w:rPr>
          <w:szCs w:val="24"/>
        </w:rPr>
        <w:t xml:space="preserve">η </w:t>
      </w:r>
      <w:r w:rsidR="00B70896" w:rsidRPr="00B70896">
        <w:rPr>
          <w:szCs w:val="24"/>
        </w:rPr>
        <w:t xml:space="preserve">Φλουκοναζόλη (20,0%) ήταν οι πιο </w:t>
      </w:r>
      <w:r w:rsidR="00840206">
        <w:rPr>
          <w:szCs w:val="24"/>
        </w:rPr>
        <w:t xml:space="preserve">ευρέως </w:t>
      </w:r>
      <w:r w:rsidR="00B70896" w:rsidRPr="00B70896">
        <w:rPr>
          <w:szCs w:val="24"/>
        </w:rPr>
        <w:t>χρησιμοπ</w:t>
      </w:r>
      <w:r w:rsidR="00840206">
        <w:rPr>
          <w:szCs w:val="24"/>
        </w:rPr>
        <w:t>οιούμενες</w:t>
      </w:r>
      <w:r w:rsidR="00B70896" w:rsidRPr="00B70896">
        <w:rPr>
          <w:szCs w:val="24"/>
        </w:rPr>
        <w:t xml:space="preserve"> θεραπείες στη μελέτη. Η συνολική επιτυχία της θεραπείας</w:t>
      </w:r>
      <w:r w:rsidR="00080FB6">
        <w:rPr>
          <w:szCs w:val="24"/>
        </w:rPr>
        <w:t xml:space="preserve"> (οριζόμενη ως</w:t>
      </w:r>
      <w:r w:rsidR="004D3D9B">
        <w:rPr>
          <w:szCs w:val="24"/>
        </w:rPr>
        <w:t xml:space="preserve"> λύση των κλινικών </w:t>
      </w:r>
      <w:r w:rsidR="00840206">
        <w:rPr>
          <w:szCs w:val="24"/>
        </w:rPr>
        <w:t>συμπτωμάτων</w:t>
      </w:r>
      <w:r w:rsidR="004D3D9B">
        <w:rPr>
          <w:szCs w:val="24"/>
        </w:rPr>
        <w:t xml:space="preserve"> ή/και εκρίζωση του μύκητα</w:t>
      </w:r>
      <w:r w:rsidR="00080FB6">
        <w:rPr>
          <w:szCs w:val="24"/>
        </w:rPr>
        <w:t xml:space="preserve">) </w:t>
      </w:r>
      <w:r w:rsidR="00B70896" w:rsidRPr="00B70896">
        <w:rPr>
          <w:szCs w:val="24"/>
        </w:rPr>
        <w:t xml:space="preserve"> και τα ποσοστά θνησιμότητας ήταν 43,9% και 49,7% αντίστοιχα</w:t>
      </w:r>
      <w:r>
        <w:rPr>
          <w:szCs w:val="24"/>
        </w:rPr>
        <w:t xml:space="preserve"> που είναι σε συμφωνία με την βιβλιογραφία</w:t>
      </w:r>
      <w:r w:rsidR="00B70896" w:rsidRPr="00B70896">
        <w:rPr>
          <w:szCs w:val="24"/>
        </w:rPr>
        <w:t xml:space="preserve">. </w:t>
      </w:r>
    </w:p>
    <w:p w:rsidR="00E839B5" w:rsidRDefault="00E839B5" w:rsidP="00E839B5">
      <w:pPr>
        <w:spacing w:line="360" w:lineRule="auto"/>
        <w:jc w:val="both"/>
        <w:rPr>
          <w:szCs w:val="24"/>
        </w:rPr>
      </w:pPr>
      <w:r w:rsidRPr="00B70896">
        <w:rPr>
          <w:szCs w:val="24"/>
        </w:rPr>
        <w:t xml:space="preserve">Το μέσο συνολικό κόστος ανά ασθενή εκτιμήθηκε σε 22.012 ευρώ. </w:t>
      </w:r>
      <w:r>
        <w:rPr>
          <w:szCs w:val="24"/>
        </w:rPr>
        <w:t xml:space="preserve">Η διαμονή στη Μ.Ε.Θ υπολογίσθηκε ότι ευθύνεται για το </w:t>
      </w:r>
      <w:r w:rsidRPr="00B70896">
        <w:rPr>
          <w:szCs w:val="24"/>
        </w:rPr>
        <w:t>80,8% του συνόλου των άμεσων</w:t>
      </w:r>
      <w:r>
        <w:rPr>
          <w:szCs w:val="24"/>
        </w:rPr>
        <w:t xml:space="preserve"> ιατρικών</w:t>
      </w:r>
      <w:r w:rsidRPr="00B70896">
        <w:rPr>
          <w:szCs w:val="24"/>
        </w:rPr>
        <w:t xml:space="preserve"> δαπανών, ενώ η</w:t>
      </w:r>
      <w:r>
        <w:rPr>
          <w:szCs w:val="24"/>
        </w:rPr>
        <w:t xml:space="preserve"> αντιμυκητισιακές θεραπείες που χρησιμοποιήθηκαν</w:t>
      </w:r>
      <w:r w:rsidRPr="00B70896">
        <w:rPr>
          <w:szCs w:val="24"/>
        </w:rPr>
        <w:t xml:space="preserve">, </w:t>
      </w:r>
      <w:r>
        <w:rPr>
          <w:szCs w:val="24"/>
        </w:rPr>
        <w:t>και οι εργαστηριακές εξετάσεις για το</w:t>
      </w:r>
      <w:r w:rsidRPr="00B70896">
        <w:rPr>
          <w:szCs w:val="24"/>
        </w:rPr>
        <w:t xml:space="preserve"> υπόλοιπου 19,2%.</w:t>
      </w:r>
      <w:r w:rsidR="0025624C">
        <w:rPr>
          <w:szCs w:val="24"/>
        </w:rPr>
        <w:t>Σημαντικός παράγοντας διαφοροποίησης του κόστος ήταν</w:t>
      </w:r>
      <w:r>
        <w:rPr>
          <w:szCs w:val="24"/>
        </w:rPr>
        <w:t xml:space="preserve"> η π</w:t>
      </w:r>
      <w:r w:rsidRPr="00B70896">
        <w:rPr>
          <w:szCs w:val="24"/>
        </w:rPr>
        <w:t>εριορ</w:t>
      </w:r>
      <w:r>
        <w:rPr>
          <w:szCs w:val="24"/>
        </w:rPr>
        <w:t xml:space="preserve">ισμένη αποτελεσματικότητα της πρώτης γραμμής αντιμυκητισιακής θεραπείας </w:t>
      </w:r>
      <w:r w:rsidR="0025624C">
        <w:rPr>
          <w:szCs w:val="24"/>
        </w:rPr>
        <w:t>καθώς</w:t>
      </w:r>
      <w:r>
        <w:rPr>
          <w:szCs w:val="24"/>
        </w:rPr>
        <w:t xml:space="preserve"> συνεπάγεται </w:t>
      </w:r>
      <w:r w:rsidRPr="00B70896">
        <w:rPr>
          <w:szCs w:val="24"/>
        </w:rPr>
        <w:t xml:space="preserve">μια αύξηση στην οικονομική επιβάρυνση </w:t>
      </w:r>
      <w:r>
        <w:rPr>
          <w:szCs w:val="24"/>
        </w:rPr>
        <w:t xml:space="preserve">της τάξεως </w:t>
      </w:r>
      <w:r w:rsidRPr="00B70896">
        <w:rPr>
          <w:szCs w:val="24"/>
        </w:rPr>
        <w:t>του 74%.</w:t>
      </w:r>
    </w:p>
    <w:p w:rsidR="00080FB6" w:rsidRDefault="00E839B5" w:rsidP="00224751">
      <w:pPr>
        <w:spacing w:line="360" w:lineRule="auto"/>
        <w:jc w:val="both"/>
        <w:rPr>
          <w:szCs w:val="24"/>
        </w:rPr>
      </w:pPr>
      <w:r>
        <w:rPr>
          <w:szCs w:val="24"/>
        </w:rPr>
        <w:lastRenderedPageBreak/>
        <w:t>Τέλος, σ</w:t>
      </w:r>
      <w:r w:rsidR="00080FB6">
        <w:rPr>
          <w:szCs w:val="24"/>
        </w:rPr>
        <w:t xml:space="preserve">ημαντικές διαφορές </w:t>
      </w:r>
      <w:r>
        <w:rPr>
          <w:szCs w:val="24"/>
        </w:rPr>
        <w:t xml:space="preserve">τόσο στην </w:t>
      </w:r>
      <w:r w:rsidR="00080FB6">
        <w:rPr>
          <w:szCs w:val="24"/>
        </w:rPr>
        <w:t>κλινική αποτελεσ</w:t>
      </w:r>
      <w:r>
        <w:rPr>
          <w:szCs w:val="24"/>
        </w:rPr>
        <w:t xml:space="preserve">ματικότητα όσο και στο μέσο κόστος ανά θεραπεία παρατηρήθηκαν μεταξύ </w:t>
      </w:r>
      <w:r w:rsidR="00080FB6">
        <w:rPr>
          <w:szCs w:val="24"/>
        </w:rPr>
        <w:t xml:space="preserve">των </w:t>
      </w:r>
      <w:r>
        <w:rPr>
          <w:szCs w:val="24"/>
        </w:rPr>
        <w:t>εχινικανδίνων (</w:t>
      </w:r>
      <w:r w:rsidRPr="00E839B5">
        <w:rPr>
          <w:szCs w:val="24"/>
        </w:rPr>
        <w:t>Ανιντουλαφουγκίνη</w:t>
      </w:r>
      <w:r>
        <w:rPr>
          <w:szCs w:val="24"/>
        </w:rPr>
        <w:t>,</w:t>
      </w:r>
      <w:r w:rsidRPr="00E839B5">
        <w:t xml:space="preserve"> </w:t>
      </w:r>
      <w:r w:rsidRPr="00E839B5">
        <w:rPr>
          <w:szCs w:val="24"/>
        </w:rPr>
        <w:t>Κασποφουγκίνη</w:t>
      </w:r>
      <w:r>
        <w:rPr>
          <w:szCs w:val="24"/>
        </w:rPr>
        <w:t xml:space="preserve">, και  </w:t>
      </w:r>
      <w:r w:rsidRPr="00E839B5">
        <w:rPr>
          <w:szCs w:val="24"/>
        </w:rPr>
        <w:t>Μικαφουγκίνη</w:t>
      </w:r>
      <w:r>
        <w:rPr>
          <w:szCs w:val="24"/>
        </w:rPr>
        <w:t>) και της Φλουκοναζόλης Πίνακας 1.</w:t>
      </w:r>
    </w:p>
    <w:p w:rsidR="00080FB6" w:rsidRPr="00E839B5" w:rsidRDefault="00E839B5" w:rsidP="00224751">
      <w:pPr>
        <w:spacing w:line="360" w:lineRule="auto"/>
        <w:jc w:val="both"/>
        <w:rPr>
          <w:b/>
          <w:szCs w:val="24"/>
        </w:rPr>
      </w:pPr>
      <w:r w:rsidRPr="00E839B5">
        <w:rPr>
          <w:b/>
          <w:szCs w:val="24"/>
        </w:rPr>
        <w:t>Πίνακας 1</w:t>
      </w:r>
    </w:p>
    <w:tbl>
      <w:tblPr>
        <w:tblStyle w:val="LightGrid-Accent11"/>
        <w:tblW w:w="0" w:type="auto"/>
        <w:tblLook w:val="04A0"/>
      </w:tblPr>
      <w:tblGrid>
        <w:gridCol w:w="2548"/>
        <w:gridCol w:w="2138"/>
        <w:gridCol w:w="2107"/>
        <w:gridCol w:w="1729"/>
      </w:tblGrid>
      <w:tr w:rsidR="00E839B5" w:rsidRPr="00E839B5" w:rsidTr="00E839B5">
        <w:trPr>
          <w:cnfStyle w:val="100000000000"/>
          <w:trHeight w:val="681"/>
        </w:trPr>
        <w:tc>
          <w:tcPr>
            <w:cnfStyle w:val="001000000000"/>
            <w:tcW w:w="2548" w:type="dxa"/>
          </w:tcPr>
          <w:p w:rsidR="00E839B5" w:rsidRPr="005D5C94" w:rsidRDefault="00E839B5" w:rsidP="0025624C">
            <w:pPr>
              <w:spacing w:before="120" w:after="120" w:line="240" w:lineRule="auto"/>
              <w:jc w:val="both"/>
              <w:rPr>
                <w:sz w:val="24"/>
                <w:szCs w:val="24"/>
                <w:u w:val="single"/>
              </w:rPr>
            </w:pPr>
            <w:r w:rsidRPr="005D5C94">
              <w:rPr>
                <w:sz w:val="24"/>
                <w:szCs w:val="24"/>
                <w:u w:val="single"/>
              </w:rPr>
              <w:t>Είδος Θεραπείας</w:t>
            </w:r>
          </w:p>
        </w:tc>
        <w:tc>
          <w:tcPr>
            <w:tcW w:w="2138" w:type="dxa"/>
          </w:tcPr>
          <w:p w:rsidR="00E839B5" w:rsidRPr="005D5C94" w:rsidRDefault="00E839B5" w:rsidP="0025624C">
            <w:pPr>
              <w:spacing w:before="120" w:after="120" w:line="240" w:lineRule="auto"/>
              <w:jc w:val="both"/>
              <w:cnfStyle w:val="100000000000"/>
              <w:rPr>
                <w:sz w:val="24"/>
                <w:szCs w:val="24"/>
              </w:rPr>
            </w:pPr>
            <w:r w:rsidRPr="005D5C94">
              <w:rPr>
                <w:sz w:val="24"/>
                <w:szCs w:val="24"/>
              </w:rPr>
              <w:t>Συνολική επιτυχία της θεραπείας (%)</w:t>
            </w:r>
          </w:p>
        </w:tc>
        <w:tc>
          <w:tcPr>
            <w:tcW w:w="2107" w:type="dxa"/>
          </w:tcPr>
          <w:p w:rsidR="00E839B5" w:rsidRPr="005D5C94" w:rsidRDefault="00E839B5" w:rsidP="0025624C">
            <w:pPr>
              <w:spacing w:before="120" w:after="120" w:line="240" w:lineRule="auto"/>
              <w:jc w:val="both"/>
              <w:cnfStyle w:val="100000000000"/>
              <w:rPr>
                <w:sz w:val="24"/>
                <w:szCs w:val="24"/>
              </w:rPr>
            </w:pPr>
            <w:r w:rsidRPr="005D5C94">
              <w:rPr>
                <w:sz w:val="24"/>
                <w:szCs w:val="24"/>
              </w:rPr>
              <w:t>Ποσοστό Θανάτων (%)</w:t>
            </w:r>
          </w:p>
        </w:tc>
        <w:tc>
          <w:tcPr>
            <w:tcW w:w="1729" w:type="dxa"/>
          </w:tcPr>
          <w:p w:rsidR="00E839B5" w:rsidRPr="005D5C94" w:rsidRDefault="00E839B5" w:rsidP="0025624C">
            <w:pPr>
              <w:spacing w:before="120" w:after="120" w:line="240" w:lineRule="auto"/>
              <w:jc w:val="both"/>
              <w:cnfStyle w:val="100000000000"/>
              <w:rPr>
                <w:sz w:val="24"/>
                <w:szCs w:val="24"/>
              </w:rPr>
            </w:pPr>
            <w:r w:rsidRPr="005D5C94">
              <w:rPr>
                <w:sz w:val="24"/>
                <w:szCs w:val="24"/>
              </w:rPr>
              <w:t>Μέσο κόστος ανά θεραπεία (€)</w:t>
            </w:r>
          </w:p>
        </w:tc>
      </w:tr>
      <w:tr w:rsidR="00E839B5" w:rsidTr="0025624C">
        <w:trPr>
          <w:cnfStyle w:val="000000100000"/>
          <w:trHeight w:val="753"/>
        </w:trPr>
        <w:tc>
          <w:tcPr>
            <w:cnfStyle w:val="001000000000"/>
            <w:tcW w:w="2548" w:type="dxa"/>
            <w:vAlign w:val="center"/>
          </w:tcPr>
          <w:p w:rsidR="00E839B5" w:rsidRPr="005D5C94" w:rsidRDefault="00E839B5" w:rsidP="0025624C">
            <w:pPr>
              <w:spacing w:before="120" w:after="120" w:line="240" w:lineRule="auto"/>
              <w:jc w:val="center"/>
              <w:rPr>
                <w:sz w:val="24"/>
                <w:szCs w:val="24"/>
              </w:rPr>
            </w:pPr>
            <w:r w:rsidRPr="005D5C94">
              <w:rPr>
                <w:sz w:val="24"/>
                <w:szCs w:val="24"/>
              </w:rPr>
              <w:t>Λιποσωμιακή Αμφοτερικίνη Β</w:t>
            </w:r>
          </w:p>
        </w:tc>
        <w:tc>
          <w:tcPr>
            <w:tcW w:w="2138" w:type="dxa"/>
            <w:vAlign w:val="center"/>
          </w:tcPr>
          <w:p w:rsidR="00E839B5" w:rsidRPr="005D5C94" w:rsidRDefault="00E839B5" w:rsidP="0025624C">
            <w:pPr>
              <w:spacing w:before="120" w:after="120" w:line="240" w:lineRule="auto"/>
              <w:jc w:val="center"/>
              <w:cnfStyle w:val="000000100000"/>
              <w:rPr>
                <w:sz w:val="24"/>
                <w:szCs w:val="24"/>
              </w:rPr>
            </w:pPr>
            <w:r w:rsidRPr="005D5C94">
              <w:rPr>
                <w:sz w:val="24"/>
                <w:szCs w:val="24"/>
              </w:rPr>
              <w:t>43%</w:t>
            </w:r>
          </w:p>
        </w:tc>
        <w:tc>
          <w:tcPr>
            <w:tcW w:w="2107" w:type="dxa"/>
            <w:vAlign w:val="center"/>
          </w:tcPr>
          <w:p w:rsidR="00E839B5" w:rsidRPr="005D5C94" w:rsidRDefault="00E839B5" w:rsidP="0025624C">
            <w:pPr>
              <w:spacing w:before="120" w:after="120" w:line="240" w:lineRule="auto"/>
              <w:jc w:val="center"/>
              <w:cnfStyle w:val="000000100000"/>
              <w:rPr>
                <w:sz w:val="24"/>
                <w:szCs w:val="24"/>
              </w:rPr>
            </w:pPr>
            <w:r w:rsidRPr="005D5C94">
              <w:rPr>
                <w:sz w:val="24"/>
                <w:szCs w:val="24"/>
              </w:rPr>
              <w:t>43%</w:t>
            </w:r>
          </w:p>
        </w:tc>
        <w:tc>
          <w:tcPr>
            <w:tcW w:w="1729" w:type="dxa"/>
            <w:vAlign w:val="center"/>
          </w:tcPr>
          <w:p w:rsidR="00E839B5" w:rsidRPr="005D5C94" w:rsidRDefault="00E839B5" w:rsidP="0025624C">
            <w:pPr>
              <w:spacing w:before="120" w:after="120" w:line="240" w:lineRule="auto"/>
              <w:jc w:val="center"/>
              <w:cnfStyle w:val="000000100000"/>
              <w:rPr>
                <w:sz w:val="24"/>
                <w:szCs w:val="24"/>
              </w:rPr>
            </w:pPr>
            <w:r w:rsidRPr="005D5C94">
              <w:rPr>
                <w:sz w:val="24"/>
                <w:szCs w:val="24"/>
              </w:rPr>
              <w:t>29.373</w:t>
            </w:r>
          </w:p>
        </w:tc>
      </w:tr>
      <w:tr w:rsidR="00E839B5" w:rsidTr="0025624C">
        <w:trPr>
          <w:cnfStyle w:val="000000010000"/>
        </w:trPr>
        <w:tc>
          <w:tcPr>
            <w:cnfStyle w:val="001000000000"/>
            <w:tcW w:w="2548" w:type="dxa"/>
            <w:vAlign w:val="center"/>
          </w:tcPr>
          <w:p w:rsidR="00E839B5" w:rsidRPr="005D5C94" w:rsidRDefault="004E3C2C" w:rsidP="0025624C">
            <w:pPr>
              <w:spacing w:before="120" w:after="120" w:line="240" w:lineRule="auto"/>
              <w:jc w:val="center"/>
              <w:rPr>
                <w:sz w:val="24"/>
                <w:szCs w:val="24"/>
              </w:rPr>
            </w:pPr>
            <w:r w:rsidRPr="005D5C94">
              <w:rPr>
                <w:sz w:val="24"/>
                <w:szCs w:val="24"/>
              </w:rPr>
              <w:t>Ανιντουλαφουγκίνη</w:t>
            </w:r>
          </w:p>
        </w:tc>
        <w:tc>
          <w:tcPr>
            <w:tcW w:w="2138" w:type="dxa"/>
            <w:vAlign w:val="center"/>
          </w:tcPr>
          <w:p w:rsidR="00E839B5" w:rsidRPr="005D5C94" w:rsidRDefault="00E839B5" w:rsidP="0025624C">
            <w:pPr>
              <w:spacing w:before="120" w:after="120" w:line="240" w:lineRule="auto"/>
              <w:jc w:val="center"/>
              <w:cnfStyle w:val="000000010000"/>
              <w:rPr>
                <w:sz w:val="24"/>
                <w:szCs w:val="24"/>
              </w:rPr>
            </w:pPr>
            <w:r w:rsidRPr="005D5C94">
              <w:rPr>
                <w:sz w:val="24"/>
                <w:szCs w:val="24"/>
              </w:rPr>
              <w:t>52%</w:t>
            </w:r>
          </w:p>
        </w:tc>
        <w:tc>
          <w:tcPr>
            <w:tcW w:w="2107" w:type="dxa"/>
            <w:vAlign w:val="center"/>
          </w:tcPr>
          <w:p w:rsidR="00E839B5" w:rsidRPr="005D5C94" w:rsidRDefault="00E839B5" w:rsidP="0025624C">
            <w:pPr>
              <w:spacing w:before="120" w:after="120" w:line="240" w:lineRule="auto"/>
              <w:jc w:val="center"/>
              <w:cnfStyle w:val="000000010000"/>
              <w:rPr>
                <w:sz w:val="24"/>
                <w:szCs w:val="24"/>
              </w:rPr>
            </w:pPr>
            <w:r w:rsidRPr="005D5C94">
              <w:rPr>
                <w:sz w:val="24"/>
                <w:szCs w:val="24"/>
              </w:rPr>
              <w:t>43%</w:t>
            </w:r>
          </w:p>
        </w:tc>
        <w:tc>
          <w:tcPr>
            <w:tcW w:w="1729" w:type="dxa"/>
            <w:vAlign w:val="center"/>
          </w:tcPr>
          <w:p w:rsidR="00E839B5" w:rsidRPr="005D5C94" w:rsidRDefault="004E3C2C" w:rsidP="0025624C">
            <w:pPr>
              <w:spacing w:before="120" w:after="120" w:line="240" w:lineRule="auto"/>
              <w:jc w:val="center"/>
              <w:cnfStyle w:val="000000010000"/>
              <w:rPr>
                <w:sz w:val="24"/>
                <w:szCs w:val="24"/>
              </w:rPr>
            </w:pPr>
            <w:r w:rsidRPr="005D5C94">
              <w:rPr>
                <w:sz w:val="24"/>
                <w:szCs w:val="24"/>
              </w:rPr>
              <w:t>25.422</w:t>
            </w:r>
          </w:p>
        </w:tc>
      </w:tr>
      <w:tr w:rsidR="00E839B5" w:rsidTr="0025624C">
        <w:trPr>
          <w:cnfStyle w:val="000000100000"/>
        </w:trPr>
        <w:tc>
          <w:tcPr>
            <w:cnfStyle w:val="001000000000"/>
            <w:tcW w:w="2548" w:type="dxa"/>
            <w:vAlign w:val="center"/>
          </w:tcPr>
          <w:p w:rsidR="00E839B5" w:rsidRPr="005D5C94" w:rsidRDefault="00E839B5" w:rsidP="0025624C">
            <w:pPr>
              <w:spacing w:before="120" w:after="120" w:line="240" w:lineRule="auto"/>
              <w:jc w:val="center"/>
              <w:rPr>
                <w:sz w:val="24"/>
                <w:szCs w:val="24"/>
              </w:rPr>
            </w:pPr>
            <w:r w:rsidRPr="005D5C94">
              <w:rPr>
                <w:sz w:val="24"/>
                <w:szCs w:val="24"/>
              </w:rPr>
              <w:t>Μικαφουγκίνη</w:t>
            </w:r>
          </w:p>
        </w:tc>
        <w:tc>
          <w:tcPr>
            <w:tcW w:w="2138" w:type="dxa"/>
            <w:vAlign w:val="center"/>
          </w:tcPr>
          <w:p w:rsidR="00E839B5" w:rsidRPr="005D5C94" w:rsidRDefault="00E839B5" w:rsidP="0025624C">
            <w:pPr>
              <w:spacing w:before="120" w:after="120" w:line="240" w:lineRule="auto"/>
              <w:jc w:val="center"/>
              <w:cnfStyle w:val="000000100000"/>
              <w:rPr>
                <w:sz w:val="24"/>
                <w:szCs w:val="24"/>
              </w:rPr>
            </w:pPr>
            <w:r w:rsidRPr="005D5C94">
              <w:rPr>
                <w:sz w:val="24"/>
                <w:szCs w:val="24"/>
              </w:rPr>
              <w:t>52%</w:t>
            </w:r>
          </w:p>
        </w:tc>
        <w:tc>
          <w:tcPr>
            <w:tcW w:w="2107" w:type="dxa"/>
            <w:vAlign w:val="center"/>
          </w:tcPr>
          <w:p w:rsidR="00E839B5" w:rsidRPr="005D5C94" w:rsidRDefault="00E839B5" w:rsidP="0025624C">
            <w:pPr>
              <w:spacing w:before="120" w:after="120" w:line="240" w:lineRule="auto"/>
              <w:jc w:val="center"/>
              <w:cnfStyle w:val="000000100000"/>
              <w:rPr>
                <w:sz w:val="24"/>
                <w:szCs w:val="24"/>
              </w:rPr>
            </w:pPr>
            <w:r w:rsidRPr="005D5C94">
              <w:rPr>
                <w:sz w:val="24"/>
                <w:szCs w:val="24"/>
              </w:rPr>
              <w:t>48%</w:t>
            </w:r>
          </w:p>
        </w:tc>
        <w:tc>
          <w:tcPr>
            <w:tcW w:w="1729" w:type="dxa"/>
            <w:vAlign w:val="center"/>
          </w:tcPr>
          <w:p w:rsidR="00E839B5" w:rsidRPr="005D5C94" w:rsidRDefault="00E839B5" w:rsidP="0025624C">
            <w:pPr>
              <w:spacing w:before="120" w:after="120" w:line="240" w:lineRule="auto"/>
              <w:jc w:val="center"/>
              <w:cnfStyle w:val="000000100000"/>
              <w:rPr>
                <w:sz w:val="24"/>
                <w:szCs w:val="24"/>
              </w:rPr>
            </w:pPr>
            <w:r w:rsidRPr="005D5C94">
              <w:rPr>
                <w:sz w:val="24"/>
                <w:szCs w:val="24"/>
              </w:rPr>
              <w:t>21.855</w:t>
            </w:r>
          </w:p>
        </w:tc>
      </w:tr>
      <w:tr w:rsidR="00E839B5" w:rsidTr="0025624C">
        <w:trPr>
          <w:cnfStyle w:val="000000010000"/>
        </w:trPr>
        <w:tc>
          <w:tcPr>
            <w:cnfStyle w:val="001000000000"/>
            <w:tcW w:w="2548" w:type="dxa"/>
            <w:vAlign w:val="center"/>
          </w:tcPr>
          <w:p w:rsidR="00E839B5" w:rsidRPr="005D5C94" w:rsidRDefault="00E839B5" w:rsidP="0025624C">
            <w:pPr>
              <w:spacing w:before="120" w:after="120" w:line="240" w:lineRule="auto"/>
              <w:jc w:val="center"/>
              <w:rPr>
                <w:sz w:val="24"/>
                <w:szCs w:val="24"/>
              </w:rPr>
            </w:pPr>
            <w:r w:rsidRPr="005D5C94">
              <w:rPr>
                <w:sz w:val="24"/>
                <w:szCs w:val="24"/>
              </w:rPr>
              <w:t>Κασποφουγκίνη</w:t>
            </w:r>
          </w:p>
        </w:tc>
        <w:tc>
          <w:tcPr>
            <w:tcW w:w="2138" w:type="dxa"/>
            <w:vAlign w:val="center"/>
          </w:tcPr>
          <w:p w:rsidR="00E839B5" w:rsidRPr="005D5C94" w:rsidRDefault="00E839B5" w:rsidP="0025624C">
            <w:pPr>
              <w:spacing w:before="120" w:after="120" w:line="240" w:lineRule="auto"/>
              <w:jc w:val="center"/>
              <w:cnfStyle w:val="000000010000"/>
              <w:rPr>
                <w:sz w:val="24"/>
                <w:szCs w:val="24"/>
              </w:rPr>
            </w:pPr>
            <w:r w:rsidRPr="005D5C94">
              <w:rPr>
                <w:sz w:val="24"/>
                <w:szCs w:val="24"/>
              </w:rPr>
              <w:t>50%</w:t>
            </w:r>
          </w:p>
        </w:tc>
        <w:tc>
          <w:tcPr>
            <w:tcW w:w="2107" w:type="dxa"/>
            <w:vAlign w:val="center"/>
          </w:tcPr>
          <w:p w:rsidR="00E839B5" w:rsidRPr="005D5C94" w:rsidRDefault="00E839B5" w:rsidP="0025624C">
            <w:pPr>
              <w:spacing w:before="120" w:after="120" w:line="240" w:lineRule="auto"/>
              <w:jc w:val="center"/>
              <w:cnfStyle w:val="000000010000"/>
              <w:rPr>
                <w:sz w:val="24"/>
                <w:szCs w:val="24"/>
              </w:rPr>
            </w:pPr>
            <w:r w:rsidRPr="005D5C94">
              <w:rPr>
                <w:sz w:val="24"/>
                <w:szCs w:val="24"/>
              </w:rPr>
              <w:t>57%</w:t>
            </w:r>
          </w:p>
        </w:tc>
        <w:tc>
          <w:tcPr>
            <w:tcW w:w="1729" w:type="dxa"/>
            <w:vAlign w:val="center"/>
          </w:tcPr>
          <w:p w:rsidR="00E839B5" w:rsidRPr="005D5C94" w:rsidRDefault="00E839B5" w:rsidP="0025624C">
            <w:pPr>
              <w:spacing w:before="120" w:after="120" w:line="240" w:lineRule="auto"/>
              <w:jc w:val="center"/>
              <w:cnfStyle w:val="000000010000"/>
              <w:rPr>
                <w:sz w:val="24"/>
                <w:szCs w:val="24"/>
              </w:rPr>
            </w:pPr>
            <w:r w:rsidRPr="005D5C94">
              <w:rPr>
                <w:sz w:val="24"/>
                <w:szCs w:val="24"/>
              </w:rPr>
              <w:t>26.639</w:t>
            </w:r>
          </w:p>
        </w:tc>
      </w:tr>
      <w:tr w:rsidR="00E839B5" w:rsidTr="0025624C">
        <w:trPr>
          <w:cnfStyle w:val="000000100000"/>
        </w:trPr>
        <w:tc>
          <w:tcPr>
            <w:cnfStyle w:val="001000000000"/>
            <w:tcW w:w="2548" w:type="dxa"/>
            <w:vAlign w:val="center"/>
          </w:tcPr>
          <w:p w:rsidR="00E839B5" w:rsidRPr="005D5C94" w:rsidRDefault="004E3C2C" w:rsidP="0025624C">
            <w:pPr>
              <w:spacing w:before="120" w:after="120" w:line="240" w:lineRule="auto"/>
              <w:jc w:val="center"/>
              <w:rPr>
                <w:sz w:val="24"/>
                <w:szCs w:val="24"/>
              </w:rPr>
            </w:pPr>
            <w:r w:rsidRPr="005D5C94">
              <w:rPr>
                <w:sz w:val="24"/>
                <w:szCs w:val="24"/>
              </w:rPr>
              <w:t>Φλουκοναζόλη</w:t>
            </w:r>
          </w:p>
        </w:tc>
        <w:tc>
          <w:tcPr>
            <w:tcW w:w="2138" w:type="dxa"/>
            <w:vAlign w:val="center"/>
          </w:tcPr>
          <w:p w:rsidR="00E839B5" w:rsidRPr="005D5C94" w:rsidRDefault="00E839B5" w:rsidP="0025624C">
            <w:pPr>
              <w:spacing w:before="120" w:after="120" w:line="240" w:lineRule="auto"/>
              <w:jc w:val="center"/>
              <w:cnfStyle w:val="000000100000"/>
              <w:rPr>
                <w:sz w:val="24"/>
                <w:szCs w:val="24"/>
              </w:rPr>
            </w:pPr>
            <w:r w:rsidRPr="005D5C94">
              <w:rPr>
                <w:sz w:val="24"/>
                <w:szCs w:val="24"/>
              </w:rPr>
              <w:t>42%</w:t>
            </w:r>
          </w:p>
        </w:tc>
        <w:tc>
          <w:tcPr>
            <w:tcW w:w="2107" w:type="dxa"/>
            <w:vAlign w:val="center"/>
          </w:tcPr>
          <w:p w:rsidR="00E839B5" w:rsidRPr="005D5C94" w:rsidRDefault="00E839B5" w:rsidP="0025624C">
            <w:pPr>
              <w:spacing w:before="120" w:after="120" w:line="240" w:lineRule="auto"/>
              <w:jc w:val="center"/>
              <w:cnfStyle w:val="000000100000"/>
              <w:rPr>
                <w:sz w:val="24"/>
                <w:szCs w:val="24"/>
              </w:rPr>
            </w:pPr>
            <w:r w:rsidRPr="005D5C94">
              <w:rPr>
                <w:sz w:val="24"/>
                <w:szCs w:val="24"/>
              </w:rPr>
              <w:t>58%</w:t>
            </w:r>
          </w:p>
        </w:tc>
        <w:tc>
          <w:tcPr>
            <w:tcW w:w="1729" w:type="dxa"/>
            <w:vAlign w:val="center"/>
          </w:tcPr>
          <w:p w:rsidR="00E839B5" w:rsidRPr="005D5C94" w:rsidRDefault="004E3C2C" w:rsidP="0025624C">
            <w:pPr>
              <w:spacing w:before="120" w:after="120" w:line="240" w:lineRule="auto"/>
              <w:jc w:val="center"/>
              <w:cnfStyle w:val="000000100000"/>
              <w:rPr>
                <w:sz w:val="24"/>
                <w:szCs w:val="24"/>
              </w:rPr>
            </w:pPr>
            <w:r w:rsidRPr="005D5C94">
              <w:rPr>
                <w:sz w:val="24"/>
                <w:szCs w:val="24"/>
              </w:rPr>
              <w:t>14.868</w:t>
            </w:r>
          </w:p>
        </w:tc>
      </w:tr>
    </w:tbl>
    <w:p w:rsidR="004D3D9B" w:rsidRDefault="004D3D9B" w:rsidP="00224751">
      <w:pPr>
        <w:spacing w:line="360" w:lineRule="auto"/>
        <w:jc w:val="both"/>
        <w:rPr>
          <w:szCs w:val="24"/>
        </w:rPr>
      </w:pPr>
    </w:p>
    <w:p w:rsidR="004465F3" w:rsidRDefault="004465F3" w:rsidP="00023B5A">
      <w:pPr>
        <w:spacing w:line="360" w:lineRule="auto"/>
        <w:jc w:val="both"/>
        <w:rPr>
          <w:szCs w:val="24"/>
        </w:rPr>
      </w:pPr>
      <w:r>
        <w:rPr>
          <w:szCs w:val="24"/>
        </w:rPr>
        <w:t>Παρότι δεν μπορούν να εξαχθούν καταληκτικά</w:t>
      </w:r>
      <w:r w:rsidR="005D5C94">
        <w:rPr>
          <w:szCs w:val="24"/>
        </w:rPr>
        <w:t xml:space="preserve"> συμπεράσματα</w:t>
      </w:r>
      <w:r>
        <w:rPr>
          <w:szCs w:val="24"/>
        </w:rPr>
        <w:t xml:space="preserve"> αναφορικά με τη σχέση κόστους αποτελεσματικότητας των διαφόρων θεραπειών λόγω του μη-περαμβτικού χαρακτήρα  της μελέτης, </w:t>
      </w:r>
      <w:r w:rsidR="00CA1C86">
        <w:rPr>
          <w:szCs w:val="24"/>
        </w:rPr>
        <w:t xml:space="preserve">με βάση τα μη σταθμισμένα ευρήματα </w:t>
      </w:r>
      <w:r>
        <w:rPr>
          <w:szCs w:val="24"/>
        </w:rPr>
        <w:t xml:space="preserve">η Φλουκοναζόλη </w:t>
      </w:r>
      <w:r w:rsidR="00CA1C86">
        <w:rPr>
          <w:szCs w:val="24"/>
        </w:rPr>
        <w:t>αναδείχθηκε η δραστική ουσία με τη μικρότερη</w:t>
      </w:r>
      <w:r w:rsidR="003C0600">
        <w:rPr>
          <w:szCs w:val="24"/>
          <w:lang w:val="en-US"/>
        </w:rPr>
        <w:t xml:space="preserve"> </w:t>
      </w:r>
      <w:r w:rsidR="003C0600">
        <w:rPr>
          <w:szCs w:val="24"/>
        </w:rPr>
        <w:t>επιβάρυνση</w:t>
      </w:r>
      <w:r w:rsidR="00CA1C86">
        <w:rPr>
          <w:szCs w:val="24"/>
        </w:rPr>
        <w:t xml:space="preserve">  του οικονομικού προϋπολογισμού των Νοσοκομείων, αλλά και την μικρότερη </w:t>
      </w:r>
      <w:r>
        <w:rPr>
          <w:szCs w:val="24"/>
        </w:rPr>
        <w:t>αποτελεσματικότητα</w:t>
      </w:r>
      <w:r w:rsidR="00CA1C86">
        <w:rPr>
          <w:szCs w:val="24"/>
        </w:rPr>
        <w:t>. Ένα ενδιαφέρον σημείο των αποτελεσμάτων είναι ότι επιβεβαιώθηκαν τα πορίσματα των τυχαιοποιημένων μελετών σύμφωνα με τα οποία οι εχινοκανδίνες έχουν συγκρίσιμη κλινική αποτελεσματικότητα.</w:t>
      </w:r>
      <w:r>
        <w:rPr>
          <w:szCs w:val="24"/>
        </w:rPr>
        <w:t xml:space="preserve"> </w:t>
      </w:r>
    </w:p>
    <w:p w:rsidR="00E878AD" w:rsidRPr="00023B5A" w:rsidRDefault="00836481" w:rsidP="00023B5A">
      <w:pPr>
        <w:spacing w:line="360" w:lineRule="auto"/>
        <w:jc w:val="both"/>
        <w:rPr>
          <w:szCs w:val="24"/>
        </w:rPr>
      </w:pPr>
      <w:r>
        <w:rPr>
          <w:szCs w:val="24"/>
        </w:rPr>
        <w:t>Η παρούσα μελέτη</w:t>
      </w:r>
      <w:r w:rsidR="004465F3">
        <w:rPr>
          <w:szCs w:val="24"/>
        </w:rPr>
        <w:t xml:space="preserve"> σε συνδυασμό με δεδομένα από τυχαιοποιημένες κλινικές μελέτες </w:t>
      </w:r>
      <w:r>
        <w:rPr>
          <w:szCs w:val="24"/>
        </w:rPr>
        <w:t xml:space="preserve">μπορεί να αποδειχθεί </w:t>
      </w:r>
      <w:r w:rsidR="004465F3">
        <w:rPr>
          <w:szCs w:val="24"/>
        </w:rPr>
        <w:t xml:space="preserve"> </w:t>
      </w:r>
      <w:r>
        <w:rPr>
          <w:szCs w:val="24"/>
        </w:rPr>
        <w:t xml:space="preserve">χρήσιμη </w:t>
      </w:r>
      <w:r w:rsidR="004465F3">
        <w:rPr>
          <w:szCs w:val="24"/>
        </w:rPr>
        <w:t>για την στην κατάρτιση κατευθυντήριων οδηγιών όταν λαμβάνεται υπόψιν και το κόστος θεραπεία</w:t>
      </w:r>
      <w:r w:rsidR="002662CA">
        <w:rPr>
          <w:szCs w:val="24"/>
        </w:rPr>
        <w:t>ς</w:t>
      </w:r>
      <w:r w:rsidR="000808FB">
        <w:rPr>
          <w:szCs w:val="24"/>
        </w:rPr>
        <w:t>,</w:t>
      </w:r>
      <w:r w:rsidR="004465F3">
        <w:rPr>
          <w:szCs w:val="24"/>
        </w:rPr>
        <w:t xml:space="preserve"> και </w:t>
      </w:r>
      <w:r w:rsidR="002662CA">
        <w:rPr>
          <w:szCs w:val="24"/>
        </w:rPr>
        <w:t>αντικατοπτρίζει</w:t>
      </w:r>
      <w:r w:rsidR="004465F3">
        <w:rPr>
          <w:szCs w:val="24"/>
        </w:rPr>
        <w:t xml:space="preserve"> το δίλλημα στην παροχή υγε</w:t>
      </w:r>
      <w:r w:rsidR="002662CA">
        <w:rPr>
          <w:szCs w:val="24"/>
        </w:rPr>
        <w:t>ιονομικής φροντίδας</w:t>
      </w:r>
      <w:r w:rsidR="004465F3">
        <w:rPr>
          <w:szCs w:val="24"/>
        </w:rPr>
        <w:t xml:space="preserve"> δεδομένων των </w:t>
      </w:r>
      <w:r w:rsidR="002662CA">
        <w:rPr>
          <w:szCs w:val="24"/>
        </w:rPr>
        <w:t>περιορισμών</w:t>
      </w:r>
      <w:r w:rsidR="004465F3">
        <w:rPr>
          <w:szCs w:val="24"/>
        </w:rPr>
        <w:t xml:space="preserve"> </w:t>
      </w:r>
      <w:r w:rsidR="002662CA">
        <w:rPr>
          <w:szCs w:val="24"/>
        </w:rPr>
        <w:t>οικονομικών πόρων</w:t>
      </w:r>
      <w:r w:rsidR="004465F3">
        <w:rPr>
          <w:szCs w:val="24"/>
        </w:rPr>
        <w:t xml:space="preserve">.  </w:t>
      </w:r>
    </w:p>
    <w:sectPr w:rsidR="00E878AD" w:rsidRPr="00023B5A" w:rsidSect="00A73695">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193" w:rsidRDefault="006E0193" w:rsidP="003673CB">
      <w:pPr>
        <w:spacing w:after="0" w:line="240" w:lineRule="auto"/>
      </w:pPr>
      <w:r>
        <w:separator/>
      </w:r>
    </w:p>
  </w:endnote>
  <w:endnote w:type="continuationSeparator" w:id="0">
    <w:p w:rsidR="006E0193" w:rsidRDefault="006E0193" w:rsidP="003673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372212"/>
      <w:docPartObj>
        <w:docPartGallery w:val="Page Numbers (Bottom of Page)"/>
        <w:docPartUnique/>
      </w:docPartObj>
    </w:sdtPr>
    <w:sdtContent>
      <w:p w:rsidR="005D5C94" w:rsidRDefault="005D5F2E">
        <w:pPr>
          <w:pStyle w:val="Footer"/>
          <w:jc w:val="center"/>
        </w:pPr>
        <w:fldSimple w:instr=" PAGE   \* MERGEFORMAT ">
          <w:r w:rsidR="004E3C2C">
            <w:rPr>
              <w:noProof/>
            </w:rPr>
            <w:t>2</w:t>
          </w:r>
        </w:fldSimple>
      </w:p>
    </w:sdtContent>
  </w:sdt>
  <w:p w:rsidR="005D5C94" w:rsidRDefault="005D5C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193" w:rsidRDefault="006E0193" w:rsidP="003673CB">
      <w:pPr>
        <w:spacing w:after="0" w:line="240" w:lineRule="auto"/>
      </w:pPr>
      <w:r>
        <w:separator/>
      </w:r>
    </w:p>
  </w:footnote>
  <w:footnote w:type="continuationSeparator" w:id="0">
    <w:p w:rsidR="006E0193" w:rsidRDefault="006E0193" w:rsidP="003673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C94" w:rsidRPr="003673CB" w:rsidRDefault="005D5C94">
    <w:pPr>
      <w:pStyle w:val="Header"/>
    </w:pPr>
    <w:r>
      <w:rPr>
        <w:lang w:val="en-US"/>
      </w:rPr>
      <w:t>Manuscript ΠΕΦΝΙ</w:t>
    </w:r>
    <w:r>
      <w:t xml:space="preserve"> </w:t>
    </w:r>
    <w:r>
      <w:tab/>
    </w:r>
    <w:r>
      <w:tab/>
      <w:t>05/10/2012</w:t>
    </w:r>
  </w:p>
  <w:p w:rsidR="005D5C94" w:rsidRDefault="005D5C9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B552E"/>
    <w:multiLevelType w:val="hybridMultilevel"/>
    <w:tmpl w:val="3CFAB3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6B3652C8"/>
    <w:multiLevelType w:val="hybridMultilevel"/>
    <w:tmpl w:val="091497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1"/>
    <w:footnote w:id="0"/>
  </w:footnotePr>
  <w:endnotePr>
    <w:endnote w:id="-1"/>
    <w:endnote w:id="0"/>
  </w:endnotePr>
  <w:compat/>
  <w:rsids>
    <w:rsidRoot w:val="00891F3E"/>
    <w:rsid w:val="00023B5A"/>
    <w:rsid w:val="00036AD5"/>
    <w:rsid w:val="000808FB"/>
    <w:rsid w:val="00080FB6"/>
    <w:rsid w:val="00086FBA"/>
    <w:rsid w:val="001401EC"/>
    <w:rsid w:val="00224751"/>
    <w:rsid w:val="0025624C"/>
    <w:rsid w:val="002662CA"/>
    <w:rsid w:val="00272F93"/>
    <w:rsid w:val="00315747"/>
    <w:rsid w:val="003341C8"/>
    <w:rsid w:val="00346304"/>
    <w:rsid w:val="003673CB"/>
    <w:rsid w:val="003C0600"/>
    <w:rsid w:val="004133C5"/>
    <w:rsid w:val="004465F3"/>
    <w:rsid w:val="004D3D9B"/>
    <w:rsid w:val="004E3C2C"/>
    <w:rsid w:val="00544DB7"/>
    <w:rsid w:val="005C69A6"/>
    <w:rsid w:val="005D5C94"/>
    <w:rsid w:val="005D5F2E"/>
    <w:rsid w:val="00640866"/>
    <w:rsid w:val="006E0193"/>
    <w:rsid w:val="006E5DD5"/>
    <w:rsid w:val="007667A0"/>
    <w:rsid w:val="007C2138"/>
    <w:rsid w:val="007F38BB"/>
    <w:rsid w:val="00836481"/>
    <w:rsid w:val="00840206"/>
    <w:rsid w:val="00891F3E"/>
    <w:rsid w:val="009A09D4"/>
    <w:rsid w:val="009A2B4A"/>
    <w:rsid w:val="009F7379"/>
    <w:rsid w:val="00A52251"/>
    <w:rsid w:val="00A73695"/>
    <w:rsid w:val="00B70896"/>
    <w:rsid w:val="00BD7B95"/>
    <w:rsid w:val="00BE12FB"/>
    <w:rsid w:val="00C77114"/>
    <w:rsid w:val="00CA1C86"/>
    <w:rsid w:val="00DB37C0"/>
    <w:rsid w:val="00DF106D"/>
    <w:rsid w:val="00E839B5"/>
    <w:rsid w:val="00E878AD"/>
    <w:rsid w:val="00F2061C"/>
    <w:rsid w:val="00F21F5F"/>
    <w:rsid w:val="00F930B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F3E"/>
    <w:pPr>
      <w:spacing w:after="240" w:line="280" w:lineRule="atLeast"/>
    </w:pPr>
    <w:rPr>
      <w:rFonts w:ascii="Times New Roman" w:eastAsia="Times New Roman" w:hAnsi="Times New Roman" w:cs="Times New Roman"/>
      <w:sz w:val="24"/>
      <w:szCs w:val="20"/>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1F3E"/>
    <w:pPr>
      <w:spacing w:before="100" w:beforeAutospacing="1" w:after="100" w:afterAutospacing="1" w:line="240" w:lineRule="auto"/>
    </w:pPr>
    <w:rPr>
      <w:szCs w:val="24"/>
    </w:rPr>
  </w:style>
  <w:style w:type="character" w:customStyle="1" w:styleId="hps">
    <w:name w:val="hps"/>
    <w:basedOn w:val="DefaultParagraphFont"/>
    <w:rsid w:val="009A09D4"/>
  </w:style>
  <w:style w:type="paragraph" w:styleId="ListParagraph">
    <w:name w:val="List Paragraph"/>
    <w:basedOn w:val="Normal"/>
    <w:uiPriority w:val="34"/>
    <w:qFormat/>
    <w:rsid w:val="00224751"/>
    <w:pPr>
      <w:ind w:left="720"/>
      <w:contextualSpacing/>
    </w:pPr>
  </w:style>
  <w:style w:type="table" w:styleId="TableGrid">
    <w:name w:val="Table Grid"/>
    <w:basedOn w:val="TableNormal"/>
    <w:uiPriority w:val="59"/>
    <w:rsid w:val="00080FB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Grid-Accent11">
    <w:name w:val="Light Grid - Accent 11"/>
    <w:basedOn w:val="TableNormal"/>
    <w:uiPriority w:val="62"/>
    <w:rsid w:val="00E839B5"/>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Header">
    <w:name w:val="header"/>
    <w:basedOn w:val="Normal"/>
    <w:link w:val="HeaderChar"/>
    <w:uiPriority w:val="99"/>
    <w:unhideWhenUsed/>
    <w:rsid w:val="003673CB"/>
    <w:pPr>
      <w:tabs>
        <w:tab w:val="center" w:pos="4153"/>
        <w:tab w:val="right" w:pos="8306"/>
      </w:tabs>
      <w:spacing w:after="0" w:line="240" w:lineRule="auto"/>
    </w:pPr>
  </w:style>
  <w:style w:type="character" w:customStyle="1" w:styleId="HeaderChar">
    <w:name w:val="Header Char"/>
    <w:basedOn w:val="DefaultParagraphFont"/>
    <w:link w:val="Header"/>
    <w:uiPriority w:val="99"/>
    <w:rsid w:val="003673CB"/>
    <w:rPr>
      <w:rFonts w:ascii="Times New Roman" w:eastAsia="Times New Roman" w:hAnsi="Times New Roman" w:cs="Times New Roman"/>
      <w:sz w:val="24"/>
      <w:szCs w:val="20"/>
      <w:lang w:eastAsia="el-GR"/>
    </w:rPr>
  </w:style>
  <w:style w:type="paragraph" w:styleId="Footer">
    <w:name w:val="footer"/>
    <w:basedOn w:val="Normal"/>
    <w:link w:val="FooterChar"/>
    <w:uiPriority w:val="99"/>
    <w:unhideWhenUsed/>
    <w:rsid w:val="003673CB"/>
    <w:pPr>
      <w:tabs>
        <w:tab w:val="center" w:pos="4153"/>
        <w:tab w:val="right" w:pos="8306"/>
      </w:tabs>
      <w:spacing w:after="0" w:line="240" w:lineRule="auto"/>
    </w:pPr>
  </w:style>
  <w:style w:type="character" w:customStyle="1" w:styleId="FooterChar">
    <w:name w:val="Footer Char"/>
    <w:basedOn w:val="DefaultParagraphFont"/>
    <w:link w:val="Footer"/>
    <w:uiPriority w:val="99"/>
    <w:rsid w:val="003673CB"/>
    <w:rPr>
      <w:rFonts w:ascii="Times New Roman" w:eastAsia="Times New Roman" w:hAnsi="Times New Roman" w:cs="Times New Roman"/>
      <w:sz w:val="24"/>
      <w:szCs w:val="20"/>
      <w:lang w:eastAsia="el-GR"/>
    </w:rPr>
  </w:style>
  <w:style w:type="paragraph" w:styleId="BalloonText">
    <w:name w:val="Balloon Text"/>
    <w:basedOn w:val="Normal"/>
    <w:link w:val="BalloonTextChar"/>
    <w:uiPriority w:val="99"/>
    <w:semiHidden/>
    <w:unhideWhenUsed/>
    <w:rsid w:val="003673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73CB"/>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divs>
    <w:div w:id="160703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889</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Updatesofts Forums</Company>
  <LinksUpToDate>false</LinksUpToDate>
  <CharactersWithSpaces>5684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Leonidas</dc:creator>
  <cp:lastModifiedBy>Leonidas</cp:lastModifiedBy>
  <cp:revision>3</cp:revision>
  <cp:lastPrinted>2012-10-05T13:45:00Z</cp:lastPrinted>
  <dcterms:created xsi:type="dcterms:W3CDTF">2012-10-08T14:11:00Z</dcterms:created>
  <dcterms:modified xsi:type="dcterms:W3CDTF">2012-10-08T14:15:00Z</dcterms:modified>
</cp:coreProperties>
</file>