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4" w:type="dxa"/>
        <w:tblInd w:w="-601" w:type="dxa"/>
        <w:tblLayout w:type="fixed"/>
        <w:tblLook w:val="04A0"/>
      </w:tblPr>
      <w:tblGrid>
        <w:gridCol w:w="5671"/>
        <w:gridCol w:w="4393"/>
      </w:tblGrid>
      <w:tr w:rsidR="00D06334" w:rsidRPr="00CB677B" w:rsidTr="00A02693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334" w:rsidRPr="00E74657" w:rsidRDefault="00D06334" w:rsidP="00A02693">
            <w:pPr>
              <w:jc w:val="center"/>
              <w:rPr>
                <w:rFonts w:cs="Times New Roman"/>
                <w:lang w:val="en-US"/>
              </w:rPr>
            </w:pPr>
            <w:r w:rsidRPr="00E74657">
              <w:rPr>
                <w:rFonts w:cs="Times New Roman"/>
                <w:noProof/>
                <w:lang w:eastAsia="el-GR"/>
              </w:rPr>
              <w:drawing>
                <wp:inline distT="0" distB="0" distL="0" distR="0">
                  <wp:extent cx="434340" cy="441960"/>
                  <wp:effectExtent l="19050" t="0" r="3810" b="0"/>
                  <wp:docPr id="1" name="Εικόνα 1" descr="images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334" w:rsidRPr="00E74657" w:rsidRDefault="00D06334" w:rsidP="00A02693">
            <w:pPr>
              <w:jc w:val="center"/>
              <w:rPr>
                <w:rFonts w:cs="Times New Roman"/>
                <w:b/>
              </w:rPr>
            </w:pPr>
            <w:r w:rsidRPr="00E74657">
              <w:rPr>
                <w:rFonts w:cs="Times New Roman"/>
                <w:b/>
              </w:rPr>
              <w:t>ΕΛΛΗΝΙΚΗ  ΔΗΜΟΚΡΑΤΙΑ</w:t>
            </w:r>
          </w:p>
          <w:p w:rsidR="00D06334" w:rsidRPr="00E74657" w:rsidRDefault="00D06334" w:rsidP="00A02693">
            <w:pPr>
              <w:jc w:val="center"/>
              <w:rPr>
                <w:rFonts w:cs="Times New Roman"/>
                <w:b/>
              </w:rPr>
            </w:pPr>
            <w:r w:rsidRPr="00E74657">
              <w:rPr>
                <w:rFonts w:cs="Times New Roman"/>
                <w:b/>
              </w:rPr>
              <w:t xml:space="preserve">ΥΠΟΥΡΓΕΙΟ ΥΓΕΙΑΣ </w:t>
            </w:r>
          </w:p>
          <w:tbl>
            <w:tblPr>
              <w:tblStyle w:val="a3"/>
              <w:tblW w:w="8352" w:type="dxa"/>
              <w:tblLayout w:type="fixed"/>
              <w:tblLook w:val="04A0"/>
            </w:tblPr>
            <w:tblGrid>
              <w:gridCol w:w="1452"/>
              <w:gridCol w:w="1582"/>
              <w:gridCol w:w="5318"/>
            </w:tblGrid>
            <w:tr w:rsidR="00D06334" w:rsidRPr="00E74657" w:rsidTr="00A02693">
              <w:trPr>
                <w:gridAfter w:val="1"/>
                <w:wAfter w:w="5316" w:type="dxa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06334" w:rsidRPr="00E74657" w:rsidRDefault="00D06334" w:rsidP="00A02693">
                  <w:pPr>
                    <w:rPr>
                      <w:rFonts w:cs="Times New Roman"/>
                    </w:rPr>
                  </w:pPr>
                  <w:r w:rsidRPr="00E74657">
                    <w:rPr>
                      <w:rFonts w:cs="Times New Roman"/>
                      <w:noProof/>
                      <w:lang w:eastAsia="el-GR"/>
                    </w:rPr>
                    <w:drawing>
                      <wp:inline distT="0" distB="0" distL="0" distR="0">
                        <wp:extent cx="670560" cy="510540"/>
                        <wp:effectExtent l="19050" t="0" r="0" b="0"/>
                        <wp:docPr id="2" name="Εικόνα 1" descr="eopuu_me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opuu_me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06334" w:rsidRPr="00E74657" w:rsidRDefault="00D06334" w:rsidP="00A02693">
                  <w:pPr>
                    <w:rPr>
                      <w:rFonts w:cs="Times New Roman"/>
                    </w:rPr>
                  </w:pPr>
                  <w:r w:rsidRPr="00E74657">
                    <w:rPr>
                      <w:rFonts w:cs="Times New Roman"/>
                      <w:b/>
                    </w:rPr>
                    <w:t>Ε</w:t>
                  </w:r>
                  <w:r w:rsidRPr="00E74657">
                    <w:rPr>
                      <w:rFonts w:cs="Times New Roman"/>
                    </w:rPr>
                    <w:t>θνικός</w:t>
                  </w:r>
                </w:p>
                <w:p w:rsidR="00D06334" w:rsidRPr="00E74657" w:rsidRDefault="00D06334" w:rsidP="00A02693">
                  <w:pPr>
                    <w:rPr>
                      <w:rFonts w:cs="Times New Roman"/>
                    </w:rPr>
                  </w:pPr>
                  <w:r w:rsidRPr="00E74657">
                    <w:rPr>
                      <w:rFonts w:cs="Times New Roman"/>
                      <w:b/>
                    </w:rPr>
                    <w:t>Ο</w:t>
                  </w:r>
                  <w:r w:rsidRPr="00E74657">
                    <w:rPr>
                      <w:rFonts w:cs="Times New Roman"/>
                    </w:rPr>
                    <w:t xml:space="preserve">ργανισμός </w:t>
                  </w:r>
                </w:p>
                <w:p w:rsidR="00D06334" w:rsidRPr="00E74657" w:rsidRDefault="00D06334" w:rsidP="00A02693">
                  <w:pPr>
                    <w:rPr>
                      <w:rFonts w:cs="Times New Roman"/>
                    </w:rPr>
                  </w:pPr>
                  <w:r w:rsidRPr="00E74657">
                    <w:rPr>
                      <w:rFonts w:cs="Times New Roman"/>
                      <w:b/>
                    </w:rPr>
                    <w:t>Π</w:t>
                  </w:r>
                  <w:r w:rsidRPr="00E74657">
                    <w:rPr>
                      <w:rFonts w:cs="Times New Roman"/>
                    </w:rPr>
                    <w:t>αροχής</w:t>
                  </w:r>
                </w:p>
                <w:p w:rsidR="00D06334" w:rsidRPr="00E74657" w:rsidRDefault="00D06334" w:rsidP="00A02693">
                  <w:pPr>
                    <w:rPr>
                      <w:rFonts w:cs="Times New Roman"/>
                    </w:rPr>
                  </w:pPr>
                  <w:r w:rsidRPr="00E74657">
                    <w:rPr>
                      <w:rFonts w:cs="Times New Roman"/>
                      <w:b/>
                    </w:rPr>
                    <w:t>Υ</w:t>
                  </w:r>
                  <w:r w:rsidRPr="00E74657">
                    <w:rPr>
                      <w:rFonts w:cs="Times New Roman"/>
                    </w:rPr>
                    <w:t xml:space="preserve">πηρεσιών </w:t>
                  </w:r>
                </w:p>
                <w:p w:rsidR="00D06334" w:rsidRPr="00E74657" w:rsidRDefault="00D06334" w:rsidP="00A02693">
                  <w:pPr>
                    <w:rPr>
                      <w:rFonts w:cs="Times New Roman"/>
                    </w:rPr>
                  </w:pPr>
                  <w:r w:rsidRPr="00E74657">
                    <w:rPr>
                      <w:rFonts w:cs="Times New Roman"/>
                      <w:b/>
                    </w:rPr>
                    <w:t>Υ</w:t>
                  </w:r>
                  <w:r w:rsidRPr="00E74657">
                    <w:rPr>
                      <w:rFonts w:cs="Times New Roman"/>
                    </w:rPr>
                    <w:t xml:space="preserve">γείας </w:t>
                  </w:r>
                </w:p>
              </w:tc>
            </w:tr>
            <w:tr w:rsidR="00D06334" w:rsidRPr="00E74657" w:rsidTr="00A02693">
              <w:trPr>
                <w:trHeight w:val="1125"/>
              </w:trPr>
              <w:tc>
                <w:tcPr>
                  <w:tcW w:w="8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06334" w:rsidRPr="00E74657" w:rsidRDefault="00D06334" w:rsidP="00A02693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 w:themeColor="text1"/>
                    </w:rPr>
                  </w:pPr>
                  <w:r w:rsidRPr="00E74657">
                    <w:rPr>
                      <w:rFonts w:cs="Times New Roman"/>
                      <w:b/>
                      <w:bCs/>
                      <w:color w:val="000000" w:themeColor="text1"/>
                    </w:rPr>
                    <w:t xml:space="preserve">Δ Ι Ο Ι Κ Η Σ Η                                                                                       </w:t>
                  </w:r>
                </w:p>
                <w:p w:rsidR="00D06334" w:rsidRPr="00E74657" w:rsidRDefault="00D06334" w:rsidP="00A02693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color w:val="000000" w:themeColor="text1"/>
                      <w:u w:val="single"/>
                    </w:rPr>
                  </w:pPr>
                  <w:r w:rsidRPr="00E74657">
                    <w:rPr>
                      <w:rFonts w:cs="Times New Roman"/>
                      <w:b/>
                      <w:bCs/>
                      <w:color w:val="000000" w:themeColor="text1"/>
                    </w:rPr>
                    <w:t>ΓΕΝΙΚΗ Δ/ΝΣΗ: ΣΧΕΔΙΑΣΜΟΥ ΚΑΙ</w:t>
                  </w:r>
                  <w:r w:rsidRPr="00E74657">
                    <w:rPr>
                      <w:rFonts w:cs="Times New Roman"/>
                      <w:b/>
                      <w:color w:val="000000" w:themeColor="text1"/>
                    </w:rPr>
                    <w:t xml:space="preserve">                                                      </w:t>
                  </w:r>
                </w:p>
                <w:p w:rsidR="00D06334" w:rsidRPr="00E74657" w:rsidRDefault="00D06334" w:rsidP="00A02693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color w:val="000000" w:themeColor="text1"/>
                    </w:rPr>
                  </w:pPr>
                  <w:r w:rsidRPr="00E74657">
                    <w:rPr>
                      <w:rFonts w:cs="Times New Roman"/>
                      <w:b/>
                      <w:bCs/>
                      <w:color w:val="000000" w:themeColor="text1"/>
                    </w:rPr>
                    <w:t>ΑΝΑΠΤΥΞΗΣ ΥΠΗΡΕΣΙΩΝ ΥΓΕΙΑΣ</w:t>
                  </w:r>
                  <w:r w:rsidRPr="00E74657">
                    <w:rPr>
                      <w:rFonts w:cs="Times New Roman"/>
                      <w:b/>
                      <w:color w:val="000000" w:themeColor="text1"/>
                    </w:rPr>
                    <w:t xml:space="preserve"> </w:t>
                  </w:r>
                </w:p>
                <w:p w:rsidR="00D06334" w:rsidRPr="00E74657" w:rsidRDefault="00D06334" w:rsidP="006E353C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70C1"/>
                    </w:rPr>
                  </w:pPr>
                  <w:r w:rsidRPr="00E74657">
                    <w:rPr>
                      <w:rFonts w:cs="Times New Roman"/>
                      <w:b/>
                      <w:bCs/>
                      <w:color w:val="000000" w:themeColor="text1"/>
                    </w:rPr>
                    <w:t>ΔΙΕΥΘΥΝΣΗ: ΦΑΡΜΑΚΟΥ</w:t>
                  </w:r>
                </w:p>
              </w:tc>
            </w:tr>
            <w:tr w:rsidR="00D06334" w:rsidRPr="00F9446E" w:rsidTr="00A02693">
              <w:trPr>
                <w:trHeight w:val="102"/>
              </w:trPr>
              <w:tc>
                <w:tcPr>
                  <w:tcW w:w="8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46E" w:rsidRPr="00F9446E" w:rsidRDefault="00F9446E" w:rsidP="00F9446E">
                  <w:pPr>
                    <w:rPr>
                      <w:rFonts w:cs="Times New Roman"/>
                    </w:rPr>
                  </w:pPr>
                  <w:proofErr w:type="spellStart"/>
                  <w:r w:rsidRPr="00F9446E">
                    <w:rPr>
                      <w:rFonts w:cs="Times New Roman"/>
                      <w:b/>
                    </w:rPr>
                    <w:t>Fax</w:t>
                  </w:r>
                  <w:proofErr w:type="spellEnd"/>
                  <w:r w:rsidRPr="00F9446E">
                    <w:rPr>
                      <w:rFonts w:cs="Times New Roman"/>
                      <w:b/>
                    </w:rPr>
                    <w:t>:</w:t>
                  </w:r>
                  <w:r w:rsidRPr="00F9446E">
                    <w:rPr>
                      <w:rFonts w:cs="Times New Roman"/>
                    </w:rPr>
                    <w:t xml:space="preserve"> 2108110694</w:t>
                  </w:r>
                </w:p>
                <w:p w:rsidR="00F9446E" w:rsidRPr="00F9446E" w:rsidRDefault="00F9446E" w:rsidP="00F9446E">
                  <w:pPr>
                    <w:rPr>
                      <w:rFonts w:cs="Times New Roman"/>
                    </w:rPr>
                  </w:pPr>
                  <w:proofErr w:type="spellStart"/>
                  <w:r w:rsidRPr="00F9446E">
                    <w:rPr>
                      <w:rFonts w:cs="Times New Roman"/>
                      <w:b/>
                    </w:rPr>
                    <w:t>Ταχ</w:t>
                  </w:r>
                  <w:proofErr w:type="spellEnd"/>
                  <w:r w:rsidRPr="00F9446E">
                    <w:rPr>
                      <w:rFonts w:cs="Times New Roman"/>
                      <w:b/>
                    </w:rPr>
                    <w:t>. Δ/</w:t>
                  </w:r>
                  <w:proofErr w:type="spellStart"/>
                  <w:r w:rsidRPr="00F9446E">
                    <w:rPr>
                      <w:rFonts w:cs="Times New Roman"/>
                      <w:b/>
                    </w:rPr>
                    <w:t>νση</w:t>
                  </w:r>
                  <w:proofErr w:type="spellEnd"/>
                  <w:r w:rsidRPr="00F9446E">
                    <w:rPr>
                      <w:rFonts w:cs="Times New Roman"/>
                      <w:b/>
                    </w:rPr>
                    <w:t>:</w:t>
                  </w:r>
                  <w:r w:rsidRPr="00F9446E">
                    <w:rPr>
                      <w:rFonts w:cs="Times New Roman"/>
                    </w:rPr>
                    <w:t xml:space="preserve">  Απ. Παύλου 12, ΤΚ 15123 Μαρούσι</w:t>
                  </w:r>
                </w:p>
                <w:p w:rsidR="00D06334" w:rsidRPr="00D054A5" w:rsidRDefault="00F9446E" w:rsidP="00F9446E">
                  <w:pPr>
                    <w:rPr>
                      <w:rFonts w:cs="Times New Roman"/>
                      <w:b/>
                      <w:bCs/>
                      <w:color w:val="000000" w:themeColor="text1"/>
                    </w:rPr>
                  </w:pPr>
                  <w:r w:rsidRPr="00F9446E">
                    <w:rPr>
                      <w:rFonts w:cs="Times New Roman"/>
                      <w:b/>
                      <w:lang w:val="en-US"/>
                    </w:rPr>
                    <w:t>E</w:t>
                  </w:r>
                  <w:r w:rsidRPr="00D054A5">
                    <w:rPr>
                      <w:rFonts w:cs="Times New Roman"/>
                      <w:b/>
                    </w:rPr>
                    <w:t>-</w:t>
                  </w:r>
                  <w:r w:rsidRPr="00F9446E">
                    <w:rPr>
                      <w:rFonts w:cs="Times New Roman"/>
                      <w:b/>
                      <w:lang w:val="en-US"/>
                    </w:rPr>
                    <w:t>mail</w:t>
                  </w:r>
                  <w:r w:rsidRPr="00D054A5">
                    <w:rPr>
                      <w:rFonts w:cs="Times New Roman"/>
                    </w:rPr>
                    <w:t xml:space="preserve">: </w:t>
                  </w:r>
                  <w:r w:rsidRPr="00F9446E">
                    <w:rPr>
                      <w:rFonts w:cs="Times New Roman"/>
                      <w:lang w:val="en-US"/>
                    </w:rPr>
                    <w:t>d</w:t>
                  </w:r>
                  <w:r w:rsidRPr="00D054A5">
                    <w:rPr>
                      <w:rFonts w:cs="Times New Roman"/>
                    </w:rPr>
                    <w:t>6@</w:t>
                  </w:r>
                  <w:proofErr w:type="spellStart"/>
                  <w:r w:rsidRPr="00F9446E">
                    <w:rPr>
                      <w:rFonts w:cs="Times New Roman"/>
                      <w:lang w:val="en-US"/>
                    </w:rPr>
                    <w:t>eopyy</w:t>
                  </w:r>
                  <w:proofErr w:type="spellEnd"/>
                  <w:r w:rsidRPr="00D054A5">
                    <w:rPr>
                      <w:rFonts w:cs="Times New Roman"/>
                    </w:rPr>
                    <w:t>.</w:t>
                  </w:r>
                  <w:proofErr w:type="spellStart"/>
                  <w:r w:rsidRPr="00F9446E">
                    <w:rPr>
                      <w:rFonts w:cs="Times New Roman"/>
                      <w:lang w:val="en-US"/>
                    </w:rPr>
                    <w:t>gov</w:t>
                  </w:r>
                  <w:proofErr w:type="spellEnd"/>
                  <w:r w:rsidRPr="00D054A5">
                    <w:rPr>
                      <w:rFonts w:cs="Times New Roman"/>
                    </w:rPr>
                    <w:t>.</w:t>
                  </w:r>
                  <w:proofErr w:type="spellStart"/>
                  <w:r w:rsidRPr="00F9446E">
                    <w:rPr>
                      <w:rFonts w:cs="Times New Roman"/>
                      <w:lang w:val="en-US"/>
                    </w:rPr>
                    <w:t>gr</w:t>
                  </w:r>
                  <w:proofErr w:type="spellEnd"/>
                </w:p>
              </w:tc>
            </w:tr>
          </w:tbl>
          <w:p w:rsidR="00D06334" w:rsidRPr="00D054A5" w:rsidRDefault="00D06334" w:rsidP="00A02693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D06334" w:rsidRPr="00D054A5" w:rsidRDefault="00D06334" w:rsidP="00A02693">
            <w:pPr>
              <w:rPr>
                <w:rFonts w:cs="Times New Roman"/>
                <w:b/>
              </w:rPr>
            </w:pPr>
          </w:p>
          <w:p w:rsidR="00D06334" w:rsidRPr="00E74657" w:rsidRDefault="00D06334" w:rsidP="00A02693">
            <w:pPr>
              <w:ind w:firstLine="175"/>
              <w:rPr>
                <w:rFonts w:cs="Times New Roman"/>
                <w:b/>
              </w:rPr>
            </w:pPr>
            <w:r w:rsidRPr="00E74657">
              <w:rPr>
                <w:rFonts w:cs="Times New Roman"/>
                <w:b/>
              </w:rPr>
              <w:t>Αθήνα</w:t>
            </w:r>
            <w:r w:rsidR="00246297">
              <w:rPr>
                <w:rFonts w:cs="Times New Roman"/>
                <w:b/>
                <w:lang w:val="en-US"/>
              </w:rPr>
              <w:t>,</w:t>
            </w:r>
            <w:r w:rsidRPr="00E74657">
              <w:rPr>
                <w:rFonts w:cs="Times New Roman"/>
                <w:b/>
              </w:rPr>
              <w:t xml:space="preserve"> </w:t>
            </w:r>
            <w:r w:rsidR="00246297">
              <w:rPr>
                <w:rFonts w:cs="Times New Roman"/>
                <w:b/>
                <w:lang w:val="en-US"/>
              </w:rPr>
              <w:t>15-09-14</w:t>
            </w:r>
            <w:r w:rsidRPr="00E74657">
              <w:rPr>
                <w:rFonts w:cs="Times New Roman"/>
                <w:b/>
              </w:rPr>
              <w:t xml:space="preserve"> </w:t>
            </w:r>
          </w:p>
          <w:p w:rsidR="00D06334" w:rsidRDefault="00D06334" w:rsidP="00A02693">
            <w:pPr>
              <w:ind w:firstLine="175"/>
              <w:rPr>
                <w:rFonts w:cs="Times New Roman"/>
                <w:b/>
                <w:bCs/>
                <w:color w:val="000000" w:themeColor="text1"/>
              </w:rPr>
            </w:pPr>
            <w:r w:rsidRPr="00E74657">
              <w:rPr>
                <w:rFonts w:cs="Times New Roman"/>
                <w:b/>
              </w:rPr>
              <w:t>Αρ.</w:t>
            </w:r>
            <w:r w:rsidR="00287557">
              <w:rPr>
                <w:rFonts w:cs="Times New Roman"/>
                <w:b/>
              </w:rPr>
              <w:t xml:space="preserve"> </w:t>
            </w:r>
            <w:proofErr w:type="spellStart"/>
            <w:r w:rsidRPr="00E74657">
              <w:rPr>
                <w:rFonts w:cs="Times New Roman"/>
                <w:b/>
              </w:rPr>
              <w:t>Πρ</w:t>
            </w:r>
            <w:r w:rsidR="00D23449">
              <w:rPr>
                <w:rFonts w:cs="Times New Roman"/>
                <w:b/>
              </w:rPr>
              <w:t>ωτ</w:t>
            </w:r>
            <w:proofErr w:type="spellEnd"/>
            <w:r w:rsidRPr="00E74657">
              <w:rPr>
                <w:rFonts w:cs="Times New Roman"/>
                <w:b/>
              </w:rPr>
              <w:t>.:</w:t>
            </w:r>
            <w:r w:rsidRPr="00E74657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246297">
              <w:rPr>
                <w:rFonts w:cs="Times New Roman"/>
                <w:b/>
                <w:bCs/>
                <w:color w:val="000000" w:themeColor="text1"/>
              </w:rPr>
              <w:t>Π60/24</w:t>
            </w:r>
          </w:p>
          <w:p w:rsidR="00F9446E" w:rsidRPr="00E74657" w:rsidRDefault="00F9446E" w:rsidP="00A02693">
            <w:pPr>
              <w:ind w:firstLine="175"/>
              <w:rPr>
                <w:rFonts w:cs="Times New Roman"/>
                <w:b/>
                <w:bCs/>
                <w:color w:val="000000" w:themeColor="text1"/>
                <w:u w:val="single"/>
              </w:rPr>
            </w:pPr>
          </w:p>
          <w:p w:rsidR="00D06334" w:rsidRPr="00E74657" w:rsidRDefault="00D054A5" w:rsidP="00A02693">
            <w:pPr>
              <w:ind w:firstLine="175"/>
              <w:rPr>
                <w:rFonts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cs="Times New Roman"/>
                <w:b/>
                <w:bCs/>
                <w:color w:val="000000" w:themeColor="text1"/>
                <w:u w:val="single"/>
              </w:rPr>
              <w:t>ΠΡΟΣ:</w:t>
            </w:r>
          </w:p>
          <w:p w:rsidR="00F9446E" w:rsidRPr="006E353C" w:rsidRDefault="00126AEA" w:rsidP="008B2EBE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lang w:eastAsia="el-GR"/>
              </w:rPr>
            </w:pPr>
            <w:r w:rsidRPr="008B2EBE">
              <w:rPr>
                <w:rFonts w:eastAsia="Times New Roman" w:cs="Times New Roman"/>
                <w:b/>
                <w:lang w:eastAsia="el-GR"/>
              </w:rPr>
              <w:t>ΠΦΣ</w:t>
            </w:r>
            <w:r w:rsidR="006E353C" w:rsidRPr="00D23449">
              <w:rPr>
                <w:rFonts w:eastAsia="Times New Roman" w:cs="Times New Roman"/>
                <w:b/>
                <w:lang w:eastAsia="el-GR"/>
              </w:rPr>
              <w:t xml:space="preserve"> </w:t>
            </w:r>
            <w:r w:rsidR="006E353C" w:rsidRPr="00D23449">
              <w:rPr>
                <w:rFonts w:eastAsia="Times New Roman" w:cs="Times New Roman"/>
                <w:lang w:eastAsia="el-GR"/>
              </w:rPr>
              <w:t>(</w:t>
            </w:r>
            <w:r w:rsidR="006E353C" w:rsidRPr="006E353C">
              <w:rPr>
                <w:rFonts w:eastAsia="Times New Roman" w:cs="Times New Roman"/>
                <w:lang w:eastAsia="el-GR"/>
              </w:rPr>
              <w:t xml:space="preserve">Πειραιώς 134 &amp; </w:t>
            </w:r>
            <w:proofErr w:type="spellStart"/>
            <w:r w:rsidR="006E353C" w:rsidRPr="006E353C">
              <w:rPr>
                <w:rFonts w:eastAsia="Times New Roman" w:cs="Times New Roman"/>
                <w:lang w:eastAsia="el-GR"/>
              </w:rPr>
              <w:t>Αγαθημέρου</w:t>
            </w:r>
            <w:proofErr w:type="spellEnd"/>
            <w:r w:rsidR="006E353C" w:rsidRPr="006E353C">
              <w:rPr>
                <w:rFonts w:eastAsia="Times New Roman" w:cs="Times New Roman"/>
                <w:lang w:eastAsia="el-GR"/>
              </w:rPr>
              <w:t xml:space="preserve"> ΤΚ 11854</w:t>
            </w:r>
            <w:r w:rsidR="006E353C">
              <w:rPr>
                <w:rFonts w:eastAsia="Times New Roman" w:cs="Times New Roman"/>
                <w:lang w:eastAsia="el-GR"/>
              </w:rPr>
              <w:t>)</w:t>
            </w:r>
          </w:p>
          <w:p w:rsidR="00126AEA" w:rsidRPr="008B2EBE" w:rsidRDefault="00126AEA" w:rsidP="008B2EBE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eastAsia="Times New Roman" w:cs="Times New Roman"/>
                <w:lang w:eastAsia="el-GR"/>
              </w:rPr>
            </w:pPr>
            <w:r w:rsidRPr="008B2EBE">
              <w:rPr>
                <w:rFonts w:eastAsia="Times New Roman" w:cs="Times New Roman"/>
                <w:b/>
                <w:lang w:eastAsia="el-GR"/>
              </w:rPr>
              <w:t>ΠΕΦ</w:t>
            </w:r>
            <w:r w:rsidR="00C25359">
              <w:t xml:space="preserve"> </w:t>
            </w:r>
            <w:r w:rsidR="00C25359" w:rsidRPr="00C25359">
              <w:t>(</w:t>
            </w:r>
            <w:r w:rsidR="00C25359" w:rsidRPr="008B2EBE">
              <w:rPr>
                <w:rFonts w:eastAsia="Times New Roman" w:cs="Times New Roman"/>
                <w:lang w:eastAsia="el-GR"/>
              </w:rPr>
              <w:t>Λ. Κηφισίας 324</w:t>
            </w:r>
            <w:r w:rsidR="003564F7" w:rsidRPr="008E550B">
              <w:rPr>
                <w:rFonts w:eastAsia="Times New Roman" w:cs="Times New Roman"/>
                <w:lang w:eastAsia="el-GR"/>
              </w:rPr>
              <w:t>-326</w:t>
            </w:r>
            <w:r w:rsidR="00C25359" w:rsidRPr="008B2EBE">
              <w:rPr>
                <w:rFonts w:eastAsia="Times New Roman" w:cs="Times New Roman"/>
                <w:lang w:eastAsia="el-GR"/>
              </w:rPr>
              <w:t>, Ν. Ψυχικό 15451 Αθήνα)</w:t>
            </w:r>
          </w:p>
          <w:p w:rsidR="00126AEA" w:rsidRPr="008B2EBE" w:rsidRDefault="00126AEA" w:rsidP="008B2EBE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eastAsia="Times New Roman" w:cs="Times New Roman"/>
                <w:lang w:eastAsia="el-GR"/>
              </w:rPr>
            </w:pPr>
            <w:r w:rsidRPr="008B2EBE">
              <w:rPr>
                <w:rFonts w:eastAsia="Times New Roman" w:cs="Times New Roman"/>
                <w:b/>
                <w:lang w:eastAsia="el-GR"/>
              </w:rPr>
              <w:t>ΣΦΕΕ</w:t>
            </w:r>
            <w:r w:rsidR="00C25359">
              <w:t xml:space="preserve"> </w:t>
            </w:r>
            <w:r w:rsidR="00C25359" w:rsidRPr="00C25359">
              <w:t>(</w:t>
            </w:r>
            <w:r w:rsidR="00C25359" w:rsidRPr="008B2EBE">
              <w:rPr>
                <w:rFonts w:eastAsia="Times New Roman" w:cs="Times New Roman"/>
                <w:lang w:eastAsia="el-GR"/>
              </w:rPr>
              <w:t>Λ. Κηφισίας 280 &amp; Αγρινίου, 15232 Χαλάνδρι)</w:t>
            </w:r>
          </w:p>
          <w:p w:rsidR="00F51BDD" w:rsidRPr="000123B8" w:rsidRDefault="00F9446E" w:rsidP="000123B8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eastAsia="Times New Roman" w:cs="Times New Roman"/>
                <w:lang w:eastAsia="el-GR"/>
              </w:rPr>
            </w:pPr>
            <w:r w:rsidRPr="008B2EBE">
              <w:rPr>
                <w:rFonts w:eastAsia="Times New Roman" w:cs="Times New Roman"/>
                <w:b/>
                <w:lang w:eastAsia="el-GR"/>
              </w:rPr>
              <w:t>ΗΔΙΚΑ</w:t>
            </w:r>
            <w:r w:rsidR="000123B8" w:rsidRPr="000123B8">
              <w:rPr>
                <w:rFonts w:eastAsia="Times New Roman" w:cs="Times New Roman"/>
                <w:b/>
                <w:lang w:eastAsia="el-GR"/>
              </w:rPr>
              <w:t xml:space="preserve"> </w:t>
            </w:r>
            <w:r w:rsidR="000123B8" w:rsidRPr="000123B8">
              <w:rPr>
                <w:rFonts w:eastAsia="Times New Roman" w:cs="Times New Roman"/>
                <w:lang w:eastAsia="el-GR"/>
              </w:rPr>
              <w:t>(</w:t>
            </w:r>
            <w:proofErr w:type="spellStart"/>
            <w:r w:rsidR="000123B8" w:rsidRPr="000123B8">
              <w:rPr>
                <w:rFonts w:eastAsia="Times New Roman" w:cs="Times New Roman"/>
                <w:lang w:eastAsia="el-GR"/>
              </w:rPr>
              <w:t>Λεωφ</w:t>
            </w:r>
            <w:proofErr w:type="spellEnd"/>
            <w:r w:rsidR="000123B8" w:rsidRPr="000123B8">
              <w:rPr>
                <w:rFonts w:eastAsia="Times New Roman" w:cs="Times New Roman"/>
                <w:lang w:eastAsia="el-GR"/>
              </w:rPr>
              <w:t>. Συγγρού 101 &amp; Λαγουμιτζή 40, ΤΚ 11745)</w:t>
            </w:r>
          </w:p>
          <w:p w:rsidR="00112DE5" w:rsidRPr="00DD59AF" w:rsidRDefault="00F51BDD" w:rsidP="000123B8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eastAsia="Times New Roman" w:cs="Times New Roman"/>
                <w:lang w:eastAsia="el-GR"/>
              </w:rPr>
            </w:pPr>
            <w:r w:rsidRPr="008B2EBE">
              <w:rPr>
                <w:rFonts w:eastAsia="Times New Roman" w:cs="Times New Roman"/>
                <w:b/>
                <w:lang w:eastAsia="el-GR"/>
              </w:rPr>
              <w:t>ΚΜΕΣ</w:t>
            </w:r>
            <w:r w:rsidR="000123B8" w:rsidRPr="000123B8">
              <w:rPr>
                <w:rFonts w:eastAsia="Times New Roman" w:cs="Times New Roman"/>
                <w:b/>
                <w:lang w:eastAsia="el-GR"/>
              </w:rPr>
              <w:t xml:space="preserve"> </w:t>
            </w:r>
            <w:r w:rsidR="000123B8" w:rsidRPr="000123B8">
              <w:rPr>
                <w:rFonts w:eastAsia="Times New Roman" w:cs="Times New Roman"/>
                <w:lang w:val="en-US" w:eastAsia="el-GR"/>
              </w:rPr>
              <w:t>(</w:t>
            </w:r>
            <w:r w:rsidR="000123B8" w:rsidRPr="000123B8">
              <w:rPr>
                <w:rFonts w:eastAsia="Times New Roman" w:cs="Times New Roman"/>
                <w:lang w:eastAsia="el-GR"/>
              </w:rPr>
              <w:t>Πειραιώς  181, Ταύρος, ΤΚ 118 53</w:t>
            </w:r>
            <w:r w:rsidR="000123B8" w:rsidRPr="000123B8">
              <w:rPr>
                <w:rFonts w:eastAsia="Times New Roman" w:cs="Times New Roman"/>
                <w:lang w:val="en-US" w:eastAsia="el-GR"/>
              </w:rPr>
              <w:t>)</w:t>
            </w:r>
          </w:p>
          <w:p w:rsidR="00D06334" w:rsidRPr="00D054A5" w:rsidRDefault="00D06334" w:rsidP="008B2EBE">
            <w:pPr>
              <w:rPr>
                <w:rFonts w:cs="Times New Roman"/>
                <w:b/>
                <w:u w:val="single"/>
              </w:rPr>
            </w:pPr>
            <w:r w:rsidRPr="00E74657">
              <w:rPr>
                <w:rFonts w:cs="Times New Roman"/>
              </w:rPr>
              <w:t xml:space="preserve"> </w:t>
            </w:r>
            <w:r w:rsidR="00D054A5">
              <w:rPr>
                <w:rFonts w:cs="Times New Roman"/>
              </w:rPr>
              <w:t xml:space="preserve">  </w:t>
            </w:r>
            <w:r w:rsidR="0010701C" w:rsidRPr="00D054A5">
              <w:rPr>
                <w:rFonts w:cs="Times New Roman"/>
                <w:b/>
                <w:u w:val="single"/>
              </w:rPr>
              <w:t>ΚΟΙΝΟΠΟΙΗΣΗ</w:t>
            </w:r>
            <w:r w:rsidR="00D054A5">
              <w:rPr>
                <w:rFonts w:cs="Times New Roman"/>
                <w:b/>
                <w:u w:val="single"/>
              </w:rPr>
              <w:t>:</w:t>
            </w:r>
          </w:p>
          <w:p w:rsidR="00EE47EA" w:rsidRPr="008E550B" w:rsidRDefault="00126AEA" w:rsidP="00DD59A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8B2E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D59AF" w:rsidRPr="00DD59AF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="00DD59AF" w:rsidRPr="00ED3A5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9749A">
              <w:rPr>
                <w:rFonts w:asciiTheme="minorHAnsi" w:hAnsiTheme="minorHAnsi"/>
                <w:b/>
                <w:sz w:val="22"/>
                <w:szCs w:val="22"/>
              </w:rPr>
              <w:t>ΓΡ. ΥΠΟΥΡΓΟΥ ΥΓΕΙΑΣ</w:t>
            </w:r>
            <w:r w:rsidR="008E550B" w:rsidRPr="008E550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129E8" w:rsidRPr="00E129E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E550B" w:rsidRPr="008E550B">
              <w:rPr>
                <w:rFonts w:asciiTheme="minorHAnsi" w:hAnsiTheme="minorHAnsi"/>
                <w:sz w:val="22"/>
                <w:szCs w:val="22"/>
              </w:rPr>
              <w:t>(</w:t>
            </w:r>
            <w:r w:rsidR="008E550B" w:rsidRPr="008E550B">
              <w:rPr>
                <w:rFonts w:asciiTheme="minorHAnsi" w:hAnsiTheme="minorHAnsi"/>
                <w:sz w:val="22"/>
                <w:szCs w:val="22"/>
                <w:lang w:val="en-US"/>
              </w:rPr>
              <w:t>minister</w:t>
            </w:r>
            <w:r w:rsidR="008E550B" w:rsidRPr="008E550B">
              <w:rPr>
                <w:rFonts w:asciiTheme="minorHAnsi" w:hAnsiTheme="minorHAnsi"/>
                <w:sz w:val="22"/>
                <w:szCs w:val="22"/>
              </w:rPr>
              <w:t>@</w:t>
            </w:r>
            <w:proofErr w:type="spellStart"/>
            <w:r w:rsidR="008E550B" w:rsidRPr="008E550B">
              <w:rPr>
                <w:rFonts w:asciiTheme="minorHAnsi" w:hAnsiTheme="minorHAnsi"/>
                <w:sz w:val="22"/>
                <w:szCs w:val="22"/>
                <w:lang w:val="en-US"/>
              </w:rPr>
              <w:t>yyka</w:t>
            </w:r>
            <w:proofErr w:type="spellEnd"/>
            <w:r w:rsidR="008E550B" w:rsidRPr="008E550B">
              <w:rPr>
                <w:rFonts w:asciiTheme="minorHAnsi" w:hAnsiTheme="minorHAnsi"/>
                <w:sz w:val="22"/>
                <w:szCs w:val="22"/>
              </w:rPr>
              <w:t>.</w:t>
            </w:r>
            <w:proofErr w:type="spellStart"/>
            <w:r w:rsidR="008E550B" w:rsidRPr="008E550B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8E550B" w:rsidRPr="008E550B">
              <w:rPr>
                <w:rFonts w:asciiTheme="minorHAnsi" w:hAnsiTheme="minorHAnsi"/>
                <w:sz w:val="22"/>
                <w:szCs w:val="22"/>
              </w:rPr>
              <w:t>.</w:t>
            </w:r>
            <w:proofErr w:type="spellStart"/>
            <w:r w:rsidR="008E550B" w:rsidRPr="008E550B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  <w:proofErr w:type="spellEnd"/>
            <w:r w:rsidR="008E550B" w:rsidRPr="008E55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126AEA" w:rsidRPr="00DD59AF" w:rsidRDefault="00126AEA" w:rsidP="00DD59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8B2E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D59AF" w:rsidRPr="00DD59AF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  <w:r w:rsidRPr="008E550B">
              <w:rPr>
                <w:rFonts w:asciiTheme="minorHAnsi" w:hAnsiTheme="minorHAnsi"/>
                <w:b/>
                <w:sz w:val="22"/>
                <w:szCs w:val="22"/>
              </w:rPr>
              <w:t>Δ/ΝΣΗ ΑΣΦΑΛΙΣΜΕΝΩΝ ΕΟΠΥΥ</w:t>
            </w:r>
            <w:r w:rsidR="008E550B" w:rsidRPr="008E550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E550B" w:rsidRPr="008E550B">
              <w:rPr>
                <w:rFonts w:asciiTheme="minorHAnsi" w:hAnsiTheme="minorHAnsi"/>
                <w:sz w:val="22"/>
                <w:szCs w:val="22"/>
              </w:rPr>
              <w:t>(</w:t>
            </w:r>
            <w:hyperlink r:id="rId10" w:history="1">
              <w:r w:rsidR="00DD59AF" w:rsidRPr="00E27A1C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ypad</w:t>
              </w:r>
              <w:r w:rsidR="00DD59AF" w:rsidRPr="00E27A1C">
                <w:rPr>
                  <w:rStyle w:val="-"/>
                  <w:rFonts w:asciiTheme="minorHAnsi" w:hAnsiTheme="minorHAnsi"/>
                  <w:sz w:val="22"/>
                  <w:szCs w:val="22"/>
                </w:rPr>
                <w:t>@</w:t>
              </w:r>
              <w:r w:rsidR="00DD59AF" w:rsidRPr="00E27A1C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yyka</w:t>
              </w:r>
              <w:r w:rsidR="00DD59AF" w:rsidRPr="00E27A1C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DD59AF" w:rsidRPr="00E27A1C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gov</w:t>
              </w:r>
              <w:r w:rsidR="00DD59AF" w:rsidRPr="00E27A1C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DD59AF" w:rsidRPr="00E27A1C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</w:hyperlink>
            <w:r w:rsidR="008E550B" w:rsidRPr="008E550B">
              <w:rPr>
                <w:rFonts w:asciiTheme="minorHAnsi" w:hAnsiTheme="minorHAnsi"/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DD59AF" w:rsidRPr="00DD59AF" w:rsidRDefault="00DD59AF" w:rsidP="00DD59AF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DD59AF">
              <w:rPr>
                <w:rFonts w:asciiTheme="minorHAnsi" w:hAnsiTheme="minorHAnsi"/>
                <w:b/>
                <w:sz w:val="22"/>
                <w:szCs w:val="22"/>
              </w:rPr>
              <w:t xml:space="preserve">ΥΠΕΔΥΦΚΑ </w:t>
            </w:r>
            <w:r w:rsidRPr="00DD59AF">
              <w:rPr>
                <w:rFonts w:asciiTheme="minorHAnsi" w:hAnsiTheme="minorHAnsi"/>
                <w:sz w:val="22"/>
                <w:szCs w:val="22"/>
              </w:rPr>
              <w:t>(Μενάνδρου 64, ΤΚ104 32 Αθήνα)</w:t>
            </w:r>
          </w:p>
          <w:p w:rsidR="00DD59AF" w:rsidRPr="00DD59AF" w:rsidRDefault="00DD59AF" w:rsidP="00DD59AF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D59AF">
              <w:rPr>
                <w:rFonts w:asciiTheme="minorHAnsi" w:hAnsiTheme="minorHAnsi"/>
                <w:b/>
                <w:sz w:val="22"/>
                <w:szCs w:val="22"/>
              </w:rPr>
              <w:t>ΦΑΡΜΑΚΕΙΑ ΕΟΠΥΥ</w:t>
            </w:r>
          </w:p>
          <w:p w:rsidR="00A7683B" w:rsidRPr="00DD59AF" w:rsidRDefault="00A7683B" w:rsidP="00A7683B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D59AF">
              <w:rPr>
                <w:rFonts w:asciiTheme="minorHAnsi" w:hAnsiTheme="minorHAnsi"/>
                <w:b/>
                <w:sz w:val="22"/>
                <w:szCs w:val="22"/>
              </w:rPr>
              <w:t xml:space="preserve">ΠΕΡΙΦΕΡΕΙΑΚΕΣ ΔΙΕΥΘΥΝΣΕΙΣ ΕΟΠΥΥ </w:t>
            </w:r>
            <w:r w:rsidRPr="00DD59AF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DD59AF">
              <w:rPr>
                <w:rFonts w:asciiTheme="minorHAnsi" w:hAnsiTheme="minorHAnsi"/>
                <w:sz w:val="22"/>
                <w:szCs w:val="22"/>
              </w:rPr>
              <w:t>pediall@eopyy.gov.gr</w:t>
            </w:r>
            <w:proofErr w:type="spellEnd"/>
            <w:r w:rsidRPr="00DD59AF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DD59AF" w:rsidRPr="00DD59AF" w:rsidRDefault="00DD59AF" w:rsidP="00DD59AF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D59AF">
              <w:rPr>
                <w:rFonts w:asciiTheme="minorHAnsi" w:hAnsiTheme="minorHAnsi"/>
                <w:b/>
                <w:sz w:val="22"/>
                <w:szCs w:val="22"/>
              </w:rPr>
              <w:t>ΑΠΟΚΕΝΤΡΩΜΕΝΑ ΓΡΑΦΕΙΑ ΕΞΥΠΗΡΕΤΗΣΗΣ ΑΣΦΑΛΙΣΜΕΝΩΝ ΕΟΠΥΥ</w:t>
            </w:r>
          </w:p>
          <w:p w:rsidR="00D06334" w:rsidRPr="00501FF8" w:rsidRDefault="00DD59AF" w:rsidP="00A7683B">
            <w:pPr>
              <w:pStyle w:val="Default"/>
              <w:numPr>
                <w:ilvl w:val="0"/>
                <w:numId w:val="14"/>
              </w:numPr>
              <w:ind w:left="0" w:firstLine="0"/>
            </w:pPr>
            <w:r w:rsidRPr="00DD59AF">
              <w:rPr>
                <w:rFonts w:asciiTheme="minorHAnsi" w:hAnsiTheme="minorHAnsi"/>
                <w:b/>
                <w:sz w:val="22"/>
                <w:szCs w:val="22"/>
              </w:rPr>
              <w:t xml:space="preserve">UNISYSTEMS AE </w:t>
            </w:r>
            <w:r w:rsidRPr="00DD59AF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DD59AF">
              <w:rPr>
                <w:rFonts w:asciiTheme="minorHAnsi" w:hAnsiTheme="minorHAnsi"/>
                <w:sz w:val="22"/>
                <w:szCs w:val="22"/>
              </w:rPr>
              <w:t>Αλεξ</w:t>
            </w:r>
            <w:proofErr w:type="spellEnd"/>
            <w:r w:rsidRPr="00DD59A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DD59AF">
              <w:rPr>
                <w:rFonts w:asciiTheme="minorHAnsi" w:hAnsiTheme="minorHAnsi"/>
                <w:sz w:val="22"/>
                <w:szCs w:val="22"/>
              </w:rPr>
              <w:t>Πάντου</w:t>
            </w:r>
            <w:proofErr w:type="spellEnd"/>
            <w:r w:rsidRPr="00DD59AF">
              <w:rPr>
                <w:rFonts w:asciiTheme="minorHAnsi" w:hAnsiTheme="minorHAnsi"/>
                <w:sz w:val="22"/>
                <w:szCs w:val="22"/>
              </w:rPr>
              <w:t xml:space="preserve"> 19-23, 17671 Καλλιθέα</w:t>
            </w:r>
            <w:r w:rsidR="008D3BB2" w:rsidRPr="008D3BB2">
              <w:rPr>
                <w:rFonts w:asciiTheme="minorHAnsi" w:hAnsiTheme="minorHAnsi"/>
                <w:sz w:val="22"/>
                <w:szCs w:val="22"/>
              </w:rPr>
              <w:t>)</w:t>
            </w:r>
            <w:r w:rsidRPr="00DD59A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01FF8" w:rsidRPr="00E74657" w:rsidRDefault="00501FF8" w:rsidP="00501FF8">
            <w:pPr>
              <w:pStyle w:val="Default"/>
            </w:pPr>
          </w:p>
        </w:tc>
      </w:tr>
      <w:tr w:rsidR="00D06334" w:rsidRPr="00B47C2D" w:rsidTr="00A02693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334" w:rsidRPr="00BD1D47" w:rsidRDefault="00D06334" w:rsidP="00B77412">
            <w:pPr>
              <w:tabs>
                <w:tab w:val="left" w:pos="8789"/>
              </w:tabs>
              <w:spacing w:line="276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26AEA">
              <w:rPr>
                <w:rFonts w:cs="Times New Roman"/>
                <w:b/>
                <w:sz w:val="24"/>
                <w:szCs w:val="24"/>
                <w:u w:val="single"/>
              </w:rPr>
              <w:t>ΘΕΜΑ</w:t>
            </w:r>
            <w:r w:rsidRPr="00126AEA">
              <w:rPr>
                <w:rFonts w:cs="Times New Roman"/>
                <w:b/>
                <w:sz w:val="24"/>
                <w:szCs w:val="24"/>
              </w:rPr>
              <w:t xml:space="preserve">: Σχετικά με </w:t>
            </w:r>
            <w:r w:rsidR="005672CE">
              <w:rPr>
                <w:rFonts w:cs="Times New Roman"/>
                <w:b/>
                <w:sz w:val="24"/>
                <w:szCs w:val="24"/>
              </w:rPr>
              <w:t>τη</w:t>
            </w:r>
            <w:r w:rsidR="003B0208" w:rsidRPr="003B0208">
              <w:rPr>
                <w:rFonts w:cs="Times New Roman"/>
                <w:b/>
                <w:sz w:val="24"/>
                <w:szCs w:val="24"/>
              </w:rPr>
              <w:t xml:space="preserve"> διάθεση </w:t>
            </w:r>
            <w:r w:rsidR="005672CE">
              <w:rPr>
                <w:rFonts w:cs="Times New Roman"/>
                <w:b/>
                <w:sz w:val="24"/>
                <w:szCs w:val="24"/>
              </w:rPr>
              <w:t>φαρμάκων υψηλού κόστους από ιδιωτικά φαρμακεία</w:t>
            </w:r>
          </w:p>
          <w:p w:rsidR="00BD1D47" w:rsidRPr="00BD1D47" w:rsidRDefault="00BD1D47" w:rsidP="00B77412">
            <w:pPr>
              <w:tabs>
                <w:tab w:val="left" w:pos="8789"/>
              </w:tabs>
              <w:spacing w:line="276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26AEA" w:rsidRPr="008D3BB2" w:rsidRDefault="00E9749A" w:rsidP="00E9749A">
            <w:pPr>
              <w:tabs>
                <w:tab w:val="left" w:pos="8789"/>
              </w:tabs>
              <w:spacing w:line="27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A1998">
              <w:rPr>
                <w:rFonts w:cs="Times New Roman"/>
                <w:b/>
                <w:sz w:val="24"/>
                <w:szCs w:val="24"/>
                <w:u w:val="single"/>
              </w:rPr>
              <w:t>ΣΧΕΤΙΚΟ</w:t>
            </w:r>
            <w:r w:rsidRPr="002A1998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801C9D">
              <w:rPr>
                <w:rFonts w:cs="Times New Roman"/>
                <w:b/>
                <w:sz w:val="24"/>
                <w:szCs w:val="24"/>
              </w:rPr>
              <w:t xml:space="preserve">1. </w:t>
            </w:r>
            <w:r w:rsidR="0083114A" w:rsidRPr="0083114A">
              <w:rPr>
                <w:rFonts w:cs="Times New Roman"/>
                <w:sz w:val="24"/>
                <w:szCs w:val="24"/>
                <w:lang w:val="en-US"/>
              </w:rPr>
              <w:t>O</w:t>
            </w:r>
            <w:r w:rsidR="0083114A" w:rsidRPr="0083114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3114A" w:rsidRPr="0083114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="0083114A" w:rsidRPr="0083114A">
              <w:rPr>
                <w:rFonts w:cs="Times New Roman"/>
                <w:sz w:val="24"/>
                <w:szCs w:val="24"/>
              </w:rPr>
              <w:t>. 4213/2013, άρθρο 22, παρ. 9 (ΦΕΚ 261/</w:t>
            </w:r>
            <w:r w:rsidR="0083114A" w:rsidRPr="0083114A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83114A" w:rsidRPr="0083114A">
              <w:rPr>
                <w:rFonts w:cs="Times New Roman"/>
                <w:sz w:val="24"/>
                <w:szCs w:val="24"/>
              </w:rPr>
              <w:t>/9-12-1</w:t>
            </w:r>
            <w:r w:rsidR="0083114A">
              <w:rPr>
                <w:rFonts w:cs="Times New Roman"/>
                <w:sz w:val="24"/>
                <w:szCs w:val="24"/>
              </w:rPr>
              <w:t>3</w:t>
            </w:r>
            <w:r w:rsidR="0083114A" w:rsidRPr="0083114A">
              <w:rPr>
                <w:rFonts w:cs="Times New Roman"/>
                <w:sz w:val="24"/>
                <w:szCs w:val="24"/>
              </w:rPr>
              <w:t>)</w:t>
            </w:r>
            <w:r w:rsidR="0083114A">
              <w:rPr>
                <w:rFonts w:cs="Times New Roman"/>
                <w:sz w:val="24"/>
                <w:szCs w:val="24"/>
              </w:rPr>
              <w:t>,</w:t>
            </w:r>
            <w:r w:rsidR="0083114A" w:rsidRPr="0083114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3114A">
              <w:rPr>
                <w:rFonts w:cs="Times New Roman"/>
                <w:b/>
                <w:sz w:val="24"/>
                <w:szCs w:val="24"/>
              </w:rPr>
              <w:t xml:space="preserve">2. </w:t>
            </w:r>
            <w:r w:rsidR="005672CE" w:rsidRPr="005672CE">
              <w:rPr>
                <w:rFonts w:cs="Times New Roman"/>
                <w:sz w:val="24"/>
                <w:szCs w:val="24"/>
              </w:rPr>
              <w:t>Η υπ’ αρ. οικ. 45001/22-05-14 Υπουργική Απόφαση (ΦΕΚ1435/Β/04-06-2014),</w:t>
            </w:r>
            <w:r w:rsidR="005672C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3114A">
              <w:rPr>
                <w:rFonts w:cs="Times New Roman"/>
                <w:b/>
                <w:sz w:val="24"/>
                <w:szCs w:val="24"/>
              </w:rPr>
              <w:t>3</w:t>
            </w:r>
            <w:r w:rsidR="005672CE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801C9D">
              <w:rPr>
                <w:rFonts w:cs="Times New Roman"/>
                <w:sz w:val="24"/>
                <w:szCs w:val="24"/>
              </w:rPr>
              <w:t xml:space="preserve">Η υπ’ αρ. </w:t>
            </w:r>
            <w:r w:rsidR="002A1998" w:rsidRPr="00801C9D">
              <w:rPr>
                <w:rFonts w:cs="Times New Roman"/>
                <w:sz w:val="24"/>
                <w:szCs w:val="24"/>
              </w:rPr>
              <w:t xml:space="preserve">Γ.Π./ΟΙΚ.56432 (ΦΕΚ Β’ 1753/28.06.2014) </w:t>
            </w:r>
            <w:r w:rsidRPr="00801C9D">
              <w:rPr>
                <w:rFonts w:cs="Times New Roman"/>
                <w:sz w:val="24"/>
                <w:szCs w:val="24"/>
              </w:rPr>
              <w:t>Υπουργική Απόφαση</w:t>
            </w:r>
            <w:r w:rsidR="00801C9D" w:rsidRPr="00801C9D">
              <w:rPr>
                <w:rFonts w:cs="Times New Roman"/>
                <w:sz w:val="24"/>
                <w:szCs w:val="24"/>
              </w:rPr>
              <w:t>,</w:t>
            </w:r>
            <w:r w:rsidR="00801C9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3114A">
              <w:rPr>
                <w:rFonts w:cs="Times New Roman"/>
                <w:b/>
                <w:sz w:val="24"/>
                <w:szCs w:val="24"/>
              </w:rPr>
              <w:t>4</w:t>
            </w:r>
            <w:r w:rsidR="00801C9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801C9D" w:rsidRPr="00801C9D">
              <w:rPr>
                <w:rFonts w:cs="Times New Roman"/>
                <w:sz w:val="24"/>
                <w:szCs w:val="24"/>
              </w:rPr>
              <w:t>Η υπ’ αρ. ΔΥΓ3/Γ.Π οικ.70519/14-08-14 (ΦΕΚ Β’ 2243/18.08.2014) Υπουργική Απόφαση,</w:t>
            </w:r>
            <w:r w:rsidR="00801C9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3114A">
              <w:rPr>
                <w:rFonts w:cs="Times New Roman"/>
                <w:b/>
                <w:sz w:val="24"/>
                <w:szCs w:val="24"/>
              </w:rPr>
              <w:t>5</w:t>
            </w:r>
            <w:r w:rsidR="00801C9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801C9D" w:rsidRPr="00801C9D">
              <w:rPr>
                <w:rFonts w:cs="Times New Roman"/>
                <w:sz w:val="24"/>
                <w:szCs w:val="24"/>
              </w:rPr>
              <w:t>Η υπ’ αρ. οικ. 70055/12-08-14 Υπουργική Απόφαση</w:t>
            </w:r>
            <w:r w:rsidR="00F565B2">
              <w:rPr>
                <w:rFonts w:cs="Times New Roman"/>
                <w:sz w:val="24"/>
                <w:szCs w:val="24"/>
              </w:rPr>
              <w:t xml:space="preserve">, </w:t>
            </w:r>
            <w:r w:rsidR="0083114A" w:rsidRPr="0083114A">
              <w:rPr>
                <w:rFonts w:cs="Times New Roman"/>
                <w:b/>
                <w:sz w:val="24"/>
                <w:szCs w:val="24"/>
              </w:rPr>
              <w:t>6</w:t>
            </w:r>
            <w:r w:rsidR="00F565B2" w:rsidRPr="0083114A">
              <w:rPr>
                <w:rFonts w:cs="Times New Roman"/>
                <w:b/>
                <w:sz w:val="24"/>
                <w:szCs w:val="24"/>
              </w:rPr>
              <w:t>.</w:t>
            </w:r>
            <w:r w:rsidR="00F565B2">
              <w:rPr>
                <w:rFonts w:cs="Times New Roman"/>
                <w:sz w:val="24"/>
                <w:szCs w:val="24"/>
              </w:rPr>
              <w:t xml:space="preserve"> Η υπ’ αρ</w:t>
            </w:r>
            <w:r w:rsidR="00F565B2" w:rsidRPr="00F565B2">
              <w:rPr>
                <w:rFonts w:cs="Times New Roman"/>
                <w:sz w:val="24"/>
                <w:szCs w:val="24"/>
              </w:rPr>
              <w:t>. οικ. 43065</w:t>
            </w:r>
            <w:r w:rsidR="00F565B2">
              <w:rPr>
                <w:rFonts w:cs="Times New Roman"/>
                <w:sz w:val="24"/>
                <w:szCs w:val="24"/>
              </w:rPr>
              <w:t xml:space="preserve">/16-05-14 </w:t>
            </w:r>
            <w:r w:rsidR="00F565B2" w:rsidRPr="00F565B2">
              <w:rPr>
                <w:rFonts w:cs="Times New Roman"/>
                <w:sz w:val="24"/>
                <w:szCs w:val="24"/>
              </w:rPr>
              <w:t>(ΦΕΚ Β’ 1276 /</w:t>
            </w:r>
            <w:r w:rsidR="00F565B2">
              <w:rPr>
                <w:rFonts w:cs="Times New Roman"/>
                <w:sz w:val="24"/>
                <w:szCs w:val="24"/>
              </w:rPr>
              <w:t>20</w:t>
            </w:r>
            <w:r w:rsidR="00F565B2" w:rsidRPr="00F565B2">
              <w:rPr>
                <w:rFonts w:cs="Times New Roman"/>
                <w:sz w:val="24"/>
                <w:szCs w:val="24"/>
              </w:rPr>
              <w:t>.0</w:t>
            </w:r>
            <w:r w:rsidR="00F565B2">
              <w:rPr>
                <w:rFonts w:cs="Times New Roman"/>
                <w:sz w:val="24"/>
                <w:szCs w:val="24"/>
              </w:rPr>
              <w:t>5</w:t>
            </w:r>
            <w:r w:rsidR="00F565B2" w:rsidRPr="00F565B2">
              <w:rPr>
                <w:rFonts w:cs="Times New Roman"/>
                <w:sz w:val="24"/>
                <w:szCs w:val="24"/>
              </w:rPr>
              <w:t>.2014) Υπουργική Απόφαση</w:t>
            </w:r>
          </w:p>
          <w:p w:rsidR="008D3BB2" w:rsidRPr="008D3BB2" w:rsidRDefault="008D3BB2" w:rsidP="00E9749A">
            <w:pPr>
              <w:tabs>
                <w:tab w:val="left" w:pos="8789"/>
              </w:tabs>
              <w:spacing w:line="276" w:lineRule="auto"/>
              <w:ind w:firstLine="284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  <w:p w:rsidR="00B50852" w:rsidRPr="008D3BB2" w:rsidRDefault="005D5FFC" w:rsidP="008D3BB2">
            <w:pPr>
              <w:tabs>
                <w:tab w:val="left" w:pos="8789"/>
              </w:tabs>
              <w:ind w:left="284"/>
              <w:jc w:val="both"/>
              <w:rPr>
                <w:rFonts w:cs="Times New Roman"/>
                <w:sz w:val="24"/>
                <w:szCs w:val="24"/>
              </w:rPr>
            </w:pPr>
            <w:r w:rsidRPr="008D3BB2">
              <w:rPr>
                <w:rFonts w:cs="Times New Roman"/>
                <w:sz w:val="24"/>
                <w:szCs w:val="24"/>
              </w:rPr>
              <w:t>Κατ’ εφαρμογή</w:t>
            </w:r>
            <w:r w:rsidR="00D61518" w:rsidRPr="008D3BB2">
              <w:rPr>
                <w:rFonts w:cs="Times New Roman"/>
                <w:sz w:val="24"/>
                <w:szCs w:val="24"/>
              </w:rPr>
              <w:t xml:space="preserve"> των ανωτέρω </w:t>
            </w:r>
            <w:r w:rsidR="005672CE" w:rsidRPr="008D3BB2">
              <w:rPr>
                <w:rFonts w:cs="Times New Roman"/>
                <w:sz w:val="24"/>
                <w:szCs w:val="24"/>
              </w:rPr>
              <w:t>σχετικών</w:t>
            </w:r>
            <w:r w:rsidR="00EE4A80" w:rsidRPr="008D3BB2">
              <w:rPr>
                <w:rFonts w:cs="Times New Roman"/>
                <w:sz w:val="24"/>
                <w:szCs w:val="24"/>
              </w:rPr>
              <w:t xml:space="preserve"> (1-</w:t>
            </w:r>
            <w:r w:rsidR="00E42DD3" w:rsidRPr="008D3BB2">
              <w:rPr>
                <w:rFonts w:cs="Times New Roman"/>
                <w:sz w:val="24"/>
                <w:szCs w:val="24"/>
              </w:rPr>
              <w:t>6</w:t>
            </w:r>
            <w:r w:rsidR="00EE4A80" w:rsidRPr="008D3BB2">
              <w:rPr>
                <w:rFonts w:cs="Times New Roman"/>
                <w:sz w:val="24"/>
                <w:szCs w:val="24"/>
              </w:rPr>
              <w:t>)</w:t>
            </w:r>
            <w:r w:rsidR="00D61518" w:rsidRPr="008D3BB2">
              <w:rPr>
                <w:rFonts w:cs="Times New Roman"/>
                <w:sz w:val="24"/>
                <w:szCs w:val="24"/>
              </w:rPr>
              <w:t>,</w:t>
            </w:r>
            <w:r w:rsidR="00F565B2" w:rsidRPr="008D3BB2">
              <w:rPr>
                <w:rFonts w:cs="Times New Roman"/>
                <w:sz w:val="24"/>
                <w:szCs w:val="24"/>
              </w:rPr>
              <w:t xml:space="preserve"> </w:t>
            </w:r>
            <w:r w:rsidR="005672CE" w:rsidRPr="008D3BB2">
              <w:rPr>
                <w:rFonts w:cs="Times New Roman"/>
                <w:sz w:val="24"/>
                <w:szCs w:val="24"/>
              </w:rPr>
              <w:t>θέτουμε υπόψη σας ότι:</w:t>
            </w:r>
          </w:p>
          <w:p w:rsidR="00865DEE" w:rsidRPr="00EE4A80" w:rsidRDefault="00865DEE" w:rsidP="00F565B2">
            <w:pPr>
              <w:tabs>
                <w:tab w:val="left" w:pos="8789"/>
              </w:tabs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  <w:p w:rsidR="005672CE" w:rsidRPr="00FB4F64" w:rsidRDefault="00B50852" w:rsidP="00C4280D">
            <w:pPr>
              <w:pStyle w:val="a7"/>
              <w:numPr>
                <w:ilvl w:val="0"/>
                <w:numId w:val="7"/>
              </w:num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B4F64">
              <w:rPr>
                <w:rFonts w:cs="Times New Roman"/>
                <w:b/>
                <w:sz w:val="24"/>
                <w:szCs w:val="24"/>
              </w:rPr>
              <w:t>Α</w:t>
            </w:r>
            <w:r w:rsidR="00F565B2" w:rsidRPr="00FB4F64">
              <w:rPr>
                <w:rFonts w:cs="Times New Roman"/>
                <w:b/>
                <w:sz w:val="24"/>
                <w:szCs w:val="24"/>
              </w:rPr>
              <w:t>πό 15/09/14</w:t>
            </w:r>
            <w:r w:rsidR="00F565B2" w:rsidRPr="00FB4F64">
              <w:rPr>
                <w:rFonts w:cs="Times New Roman"/>
                <w:sz w:val="24"/>
                <w:szCs w:val="24"/>
              </w:rPr>
              <w:t xml:space="preserve">, τα φαρμακευτικά προϊόντα </w:t>
            </w:r>
            <w:r w:rsidR="00A967B5" w:rsidRPr="00FB4F64">
              <w:rPr>
                <w:rFonts w:cs="Times New Roman"/>
                <w:sz w:val="24"/>
                <w:szCs w:val="24"/>
              </w:rPr>
              <w:t xml:space="preserve">των οποίων η χρήση δύναται να ξεκινήσει στο Νοσοκομείο και να συνεχιστεί εκτός νοσοκομείου </w:t>
            </w:r>
            <w:r w:rsidR="00F565B2" w:rsidRPr="00FB4F64">
              <w:rPr>
                <w:rFonts w:cs="Times New Roman"/>
                <w:sz w:val="24"/>
                <w:szCs w:val="24"/>
              </w:rPr>
              <w:t xml:space="preserve">της παρ. 2 του άρθρου 12 του Ν. 3816/2010, </w:t>
            </w:r>
            <w:r w:rsidR="00A967B5" w:rsidRPr="00FB4F64">
              <w:rPr>
                <w:rFonts w:cs="Times New Roman"/>
                <w:sz w:val="24"/>
                <w:szCs w:val="24"/>
              </w:rPr>
              <w:t xml:space="preserve">και </w:t>
            </w:r>
            <w:r w:rsidR="00F565B2" w:rsidRPr="00FB4F64">
              <w:rPr>
                <w:rFonts w:cs="Times New Roman"/>
                <w:sz w:val="24"/>
                <w:szCs w:val="24"/>
              </w:rPr>
              <w:t>όπως τροποποιημένος ισχύει, δύνανται να χορηγούνται και από τα ιδιωτικά φαρμακεία.</w:t>
            </w:r>
            <w:r w:rsidR="005672CE" w:rsidRPr="00FB4F64">
              <w:t xml:space="preserve"> Ο</w:t>
            </w:r>
            <w:r w:rsidR="005672CE" w:rsidRPr="00FB4F64">
              <w:rPr>
                <w:rFonts w:cs="Times New Roman"/>
                <w:sz w:val="24"/>
                <w:szCs w:val="24"/>
              </w:rPr>
              <w:t>ι ΚΑΚ διατηρούν την δυνατότητα, εφόσον το αποφασίσουν, να διαθέτουν τα φάρμακα αυτά από ιδιωτικά φαρμακεία μόνον σε περιπτώσεις ασθενών που έχουν ενταχθεί σε μητρώα (</w:t>
            </w:r>
            <w:proofErr w:type="spellStart"/>
            <w:r w:rsidR="005672CE" w:rsidRPr="00FB4F64">
              <w:rPr>
                <w:rFonts w:cs="Times New Roman"/>
                <w:sz w:val="24"/>
                <w:szCs w:val="24"/>
              </w:rPr>
              <w:t>registries</w:t>
            </w:r>
            <w:proofErr w:type="spellEnd"/>
            <w:r w:rsidR="005672CE" w:rsidRPr="00FB4F64">
              <w:rPr>
                <w:rFonts w:cs="Times New Roman"/>
                <w:sz w:val="24"/>
                <w:szCs w:val="24"/>
              </w:rPr>
              <w:t>).</w:t>
            </w:r>
            <w:r w:rsidR="00C4280D" w:rsidRPr="00FB4F64">
              <w:rPr>
                <w:rFonts w:cs="Times New Roman"/>
                <w:sz w:val="24"/>
                <w:szCs w:val="24"/>
              </w:rPr>
              <w:t xml:space="preserve"> Στα μητρώα αυτά θα πρέπει οι ασθενείς να χαρακτηρίζονται από έναν μοναδικό κωδικό και θα πρέπει να υπάρχει μηχανισμός εξακρίβωσης ότι ο ασθενής έχει όντως λάβει την θεραπεία. Οι ΚΑΚ θα δηλώνουν στις </w:t>
            </w:r>
            <w:r w:rsidR="00C4280D" w:rsidRPr="00FB4F64">
              <w:rPr>
                <w:rFonts w:cs="Times New Roman"/>
                <w:sz w:val="24"/>
                <w:szCs w:val="24"/>
              </w:rPr>
              <w:lastRenderedPageBreak/>
              <w:t>περιπτώσεις αυτές με επίσημη επιστολή προς το ΕΟΦ την οδό διανομής των προϊόντων της παρ. 2 του άρθρου 12 του Ν. 3816/2010 που επιλέγουν, ώστε να διασφαλιστεί η επάρκεια της εσωτερικής αγοράς και η απρόσκοπτη πρόσβαση των ασθενών με σοβαρές ασθένειες.</w:t>
            </w:r>
          </w:p>
          <w:p w:rsidR="00C4280D" w:rsidRPr="00C4280D" w:rsidRDefault="00C4280D" w:rsidP="00C4280D">
            <w:p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67646C" w:rsidRDefault="005672CE" w:rsidP="0067646C">
            <w:pPr>
              <w:pStyle w:val="a7"/>
              <w:numPr>
                <w:ilvl w:val="0"/>
                <w:numId w:val="7"/>
              </w:num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66F31">
              <w:rPr>
                <w:rFonts w:cs="Times New Roman"/>
                <w:sz w:val="24"/>
                <w:szCs w:val="24"/>
              </w:rPr>
              <w:t xml:space="preserve">Τα φάρμακα για νοσοκομειακή </w:t>
            </w:r>
            <w:r w:rsidR="005E6513" w:rsidRPr="00E66F31">
              <w:rPr>
                <w:rFonts w:cs="Times New Roman"/>
                <w:sz w:val="24"/>
                <w:szCs w:val="24"/>
              </w:rPr>
              <w:t>ΜΟΝΟ</w:t>
            </w:r>
            <w:r w:rsidR="000537BF" w:rsidRPr="00E66F31">
              <w:rPr>
                <w:rFonts w:cs="Times New Roman"/>
                <w:sz w:val="24"/>
                <w:szCs w:val="24"/>
              </w:rPr>
              <w:t xml:space="preserve"> </w:t>
            </w:r>
            <w:r w:rsidRPr="00E66F31">
              <w:rPr>
                <w:rFonts w:cs="Times New Roman"/>
                <w:sz w:val="24"/>
                <w:szCs w:val="24"/>
              </w:rPr>
              <w:t>χρήση (παρ. 1-αρ. 11 Υ.Α.3457/16</w:t>
            </w:r>
            <w:r w:rsidR="00435DC8" w:rsidRPr="00E66F31">
              <w:rPr>
                <w:rFonts w:cs="Times New Roman"/>
                <w:sz w:val="24"/>
                <w:szCs w:val="24"/>
              </w:rPr>
              <w:t>.</w:t>
            </w:r>
            <w:r w:rsidRPr="00E66F31">
              <w:rPr>
                <w:rFonts w:cs="Times New Roman"/>
                <w:sz w:val="24"/>
                <w:szCs w:val="24"/>
              </w:rPr>
              <w:t>01</w:t>
            </w:r>
            <w:r w:rsidR="00435DC8" w:rsidRPr="00E66F31">
              <w:rPr>
                <w:rFonts w:cs="Times New Roman"/>
                <w:sz w:val="24"/>
                <w:szCs w:val="24"/>
              </w:rPr>
              <w:t>.</w:t>
            </w:r>
            <w:r w:rsidRPr="00E66F31">
              <w:rPr>
                <w:rFonts w:cs="Times New Roman"/>
                <w:sz w:val="24"/>
                <w:szCs w:val="24"/>
              </w:rPr>
              <w:t>14) (</w:t>
            </w:r>
            <w:proofErr w:type="spellStart"/>
            <w:r w:rsidRPr="00E66F31">
              <w:rPr>
                <w:rFonts w:cs="Times New Roman"/>
                <w:sz w:val="24"/>
                <w:szCs w:val="24"/>
              </w:rPr>
              <w:t>σχετ</w:t>
            </w:r>
            <w:proofErr w:type="spellEnd"/>
            <w:r w:rsidRPr="00E66F31">
              <w:rPr>
                <w:rFonts w:cs="Times New Roman"/>
                <w:sz w:val="24"/>
                <w:szCs w:val="24"/>
              </w:rPr>
              <w:t xml:space="preserve">. υπ’ αρ. οικ. 43065/16-05-14 Υ.Α. όπως τροποποιημένη ισχύει) </w:t>
            </w:r>
            <w:r w:rsidRPr="00E66F31">
              <w:rPr>
                <w:rFonts w:cs="Times New Roman"/>
                <w:sz w:val="24"/>
                <w:szCs w:val="24"/>
                <w:u w:val="single"/>
              </w:rPr>
              <w:t xml:space="preserve">χορηγούνται </w:t>
            </w:r>
            <w:r w:rsidR="0067646C" w:rsidRPr="00E66F31">
              <w:rPr>
                <w:rFonts w:cs="Times New Roman"/>
                <w:sz w:val="24"/>
                <w:szCs w:val="24"/>
                <w:u w:val="single"/>
              </w:rPr>
              <w:t>αποκλειστικά</w:t>
            </w:r>
            <w:r w:rsidRPr="00E66F31">
              <w:rPr>
                <w:rFonts w:cs="Times New Roman"/>
                <w:sz w:val="24"/>
                <w:szCs w:val="24"/>
              </w:rPr>
              <w:t xml:space="preserve"> από </w:t>
            </w:r>
            <w:r w:rsidR="0067646C" w:rsidRPr="00E66F31">
              <w:rPr>
                <w:rFonts w:cs="Times New Roman"/>
                <w:sz w:val="24"/>
                <w:szCs w:val="24"/>
              </w:rPr>
              <w:t xml:space="preserve">τα </w:t>
            </w:r>
            <w:r w:rsidRPr="00E66F31">
              <w:rPr>
                <w:rFonts w:cs="Times New Roman"/>
                <w:sz w:val="24"/>
                <w:szCs w:val="24"/>
              </w:rPr>
              <w:t xml:space="preserve">φαρμακεία κρατικών νοσοκομείων και ιδιωτικών κλινικών </w:t>
            </w:r>
            <w:r w:rsidR="000537BF" w:rsidRPr="00E66F31">
              <w:rPr>
                <w:rFonts w:cs="Times New Roman"/>
                <w:sz w:val="24"/>
                <w:szCs w:val="24"/>
              </w:rPr>
              <w:t>και</w:t>
            </w:r>
            <w:r w:rsidRPr="00E66F31">
              <w:rPr>
                <w:rFonts w:cs="Times New Roman"/>
                <w:sz w:val="24"/>
                <w:szCs w:val="24"/>
              </w:rPr>
              <w:t xml:space="preserve"> σε περίπτωση αδυναμίας από τα φαρμακεία ΕΟΠΥΥ</w:t>
            </w:r>
            <w:r w:rsidR="00E66F31" w:rsidRPr="00E66F31">
              <w:rPr>
                <w:rFonts w:cs="Times New Roman"/>
                <w:sz w:val="24"/>
                <w:szCs w:val="24"/>
              </w:rPr>
              <w:t xml:space="preserve">, με την διαδικασία που έχει ορίσει το ΔΣ του Οργανισμού. </w:t>
            </w:r>
          </w:p>
          <w:p w:rsidR="00E66F31" w:rsidRPr="00E66F31" w:rsidRDefault="00E66F31" w:rsidP="00E66F31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18EF" w:rsidRDefault="008A18EF" w:rsidP="008A18EF">
            <w:pPr>
              <w:pStyle w:val="a7"/>
              <w:numPr>
                <w:ilvl w:val="0"/>
                <w:numId w:val="7"/>
              </w:num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A18EF">
              <w:rPr>
                <w:rFonts w:cs="Times New Roman"/>
                <w:sz w:val="24"/>
                <w:szCs w:val="24"/>
              </w:rPr>
              <w:t>Τα φάρμακα με τιμή πάνω από 3.000 ευρώ δεν δύναται να χορηγούνται από ιδιωτικά φαρμακεία παρά μόνον από φαρμακεία του ΕΟΠΥΥ και δημοσίων νοσοκομείων.</w:t>
            </w:r>
          </w:p>
          <w:p w:rsidR="008A18EF" w:rsidRPr="008A18EF" w:rsidRDefault="008A18EF" w:rsidP="008A18EF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18EF" w:rsidRDefault="005E6513" w:rsidP="008A18EF">
            <w:pPr>
              <w:pStyle w:val="a7"/>
              <w:numPr>
                <w:ilvl w:val="0"/>
                <w:numId w:val="7"/>
              </w:num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O</w:t>
            </w:r>
            <w:r w:rsidR="008A18EF" w:rsidRPr="008A18EF">
              <w:rPr>
                <w:rFonts w:cs="Times New Roman"/>
                <w:sz w:val="24"/>
                <w:szCs w:val="24"/>
              </w:rPr>
              <w:t xml:space="preserve"> ΕΟΠΥΥ δύναται να αποφασίζει την αποκλειστική διάθεση φαρμάκων πολύ υψηλού κόστους θεραπείας ή σπανίων παθήσεων (ορφανά)</w:t>
            </w:r>
            <w:r w:rsidR="00584A4B">
              <w:rPr>
                <w:rFonts w:cs="Times New Roman"/>
                <w:sz w:val="24"/>
                <w:szCs w:val="24"/>
              </w:rPr>
              <w:t xml:space="preserve">, που δεν εντάσσονται απαραίτητα στην παρ. 2 του άρθρου 12 του Ν.3816/2010, </w:t>
            </w:r>
            <w:r w:rsidR="008A18EF" w:rsidRPr="008A18EF">
              <w:rPr>
                <w:rFonts w:cs="Times New Roman"/>
                <w:sz w:val="24"/>
                <w:szCs w:val="24"/>
              </w:rPr>
              <w:t xml:space="preserve"> από τα φαρμακεία του</w:t>
            </w:r>
            <w:r w:rsidR="00052AC7">
              <w:rPr>
                <w:rFonts w:cs="Times New Roman"/>
                <w:sz w:val="24"/>
                <w:szCs w:val="24"/>
              </w:rPr>
              <w:t xml:space="preserve"> και θα κοινοποιεί την σχετική απόφαση</w:t>
            </w:r>
            <w:r w:rsidR="008A18EF" w:rsidRPr="008A18EF">
              <w:rPr>
                <w:rFonts w:cs="Times New Roman"/>
                <w:sz w:val="24"/>
                <w:szCs w:val="24"/>
              </w:rPr>
              <w:t>.</w:t>
            </w:r>
            <w:r w:rsidR="00F447DC">
              <w:rPr>
                <w:rFonts w:cs="Times New Roman"/>
                <w:sz w:val="24"/>
                <w:szCs w:val="24"/>
              </w:rPr>
              <w:t xml:space="preserve"> Επισημαίνεται ότι όποιο φάρμακο έχει έως σήμερα δεσμευθεί για να διατίθεται από τα φαρμακεία του ΕΟΠΥΥ με απόφαση Προέδρου και δεν περιλαμβάνεται στα φάρμακα του Ν.3816/</w:t>
            </w:r>
            <w:r w:rsidR="00F447DC" w:rsidRPr="00DA1205">
              <w:rPr>
                <w:rFonts w:cs="Times New Roman"/>
                <w:sz w:val="24"/>
                <w:szCs w:val="24"/>
              </w:rPr>
              <w:t>2010 πχ.</w:t>
            </w:r>
            <w:r w:rsidR="00DA1205" w:rsidRPr="00DA12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A1205" w:rsidRPr="00DA1205">
              <w:rPr>
                <w:rFonts w:cs="Times New Roman"/>
                <w:sz w:val="24"/>
                <w:szCs w:val="24"/>
                <w:lang w:val="en-US"/>
              </w:rPr>
              <w:t>Zyvoxid</w:t>
            </w:r>
            <w:proofErr w:type="spellEnd"/>
            <w:r w:rsidR="00DA1205" w:rsidRPr="00DA120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DA1205">
              <w:rPr>
                <w:rFonts w:cs="Times New Roman"/>
                <w:sz w:val="24"/>
                <w:szCs w:val="24"/>
                <w:lang w:val="en-US"/>
              </w:rPr>
              <w:t>Flolan</w:t>
            </w:r>
            <w:proofErr w:type="spellEnd"/>
            <w:r w:rsidR="00F447DC">
              <w:rPr>
                <w:rFonts w:cs="Times New Roman"/>
                <w:sz w:val="24"/>
                <w:szCs w:val="24"/>
              </w:rPr>
              <w:t xml:space="preserve"> εξακολουθεί να διατίθεται από τα φαρμακεία του Οργανισμού.</w:t>
            </w:r>
          </w:p>
          <w:p w:rsidR="008A18EF" w:rsidRPr="008A18EF" w:rsidRDefault="008A18EF" w:rsidP="008A18EF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5672CE" w:rsidRPr="008A18EF" w:rsidRDefault="008A18EF" w:rsidP="0067646C">
            <w:pPr>
              <w:pStyle w:val="a7"/>
              <w:numPr>
                <w:ilvl w:val="0"/>
                <w:numId w:val="7"/>
              </w:num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A18EF">
              <w:rPr>
                <w:rFonts w:cs="Times New Roman"/>
                <w:sz w:val="24"/>
                <w:szCs w:val="24"/>
              </w:rPr>
              <w:t>Ο ΕΟΠΥΥ δύν</w:t>
            </w:r>
            <w:r w:rsidR="00501FF8">
              <w:rPr>
                <w:rFonts w:cs="Times New Roman"/>
                <w:sz w:val="24"/>
                <w:szCs w:val="24"/>
              </w:rPr>
              <w:t xml:space="preserve">αται να </w:t>
            </w:r>
            <w:proofErr w:type="spellStart"/>
            <w:r w:rsidR="00501FF8">
              <w:rPr>
                <w:rFonts w:cs="Times New Roman"/>
                <w:sz w:val="24"/>
                <w:szCs w:val="24"/>
              </w:rPr>
              <w:t>προεγκρίνει</w:t>
            </w:r>
            <w:proofErr w:type="spellEnd"/>
            <w:r w:rsidR="00501FF8">
              <w:rPr>
                <w:rFonts w:cs="Times New Roman"/>
                <w:sz w:val="24"/>
                <w:szCs w:val="24"/>
              </w:rPr>
              <w:t xml:space="preserve"> τη χρήση </w:t>
            </w:r>
            <w:r w:rsidRPr="008A18EF">
              <w:rPr>
                <w:rFonts w:cs="Times New Roman"/>
                <w:sz w:val="24"/>
                <w:szCs w:val="24"/>
              </w:rPr>
              <w:t xml:space="preserve"> συγκεκριμένων φαρμάκων με υψηλό κόστος κτήσης ή υψηλό ετήσιο κόστος θεραπείας, δια μέσου των επιτροπών του και να τα διαθέτει μέσω των φαρμακείων του. </w:t>
            </w:r>
            <w:proofErr w:type="spellStart"/>
            <w:r>
              <w:rPr>
                <w:rFonts w:cs="Times New Roman"/>
                <w:sz w:val="24"/>
                <w:szCs w:val="24"/>
              </w:rPr>
              <w:t>Ε</w:t>
            </w:r>
            <w:r w:rsidR="005672CE" w:rsidRPr="008A18EF">
              <w:rPr>
                <w:rFonts w:cs="Times New Roman"/>
                <w:sz w:val="24"/>
                <w:szCs w:val="24"/>
              </w:rPr>
              <w:t>πικαιροποιημένος</w:t>
            </w:r>
            <w:proofErr w:type="spellEnd"/>
            <w:r w:rsidR="005672CE" w:rsidRPr="008A18EF">
              <w:rPr>
                <w:rFonts w:cs="Times New Roman"/>
                <w:sz w:val="24"/>
                <w:szCs w:val="24"/>
              </w:rPr>
              <w:t xml:space="preserve"> κατάλογος με τα φάρμακα που απαιτούν προέγκριση</w:t>
            </w:r>
            <w:r w:rsidR="00501FF8">
              <w:rPr>
                <w:rFonts w:cs="Times New Roman"/>
                <w:sz w:val="24"/>
                <w:szCs w:val="24"/>
              </w:rPr>
              <w:t xml:space="preserve"> και διατίθενται αποκλειστικά από τον ΕΟΠΥΥ</w:t>
            </w:r>
            <w:r w:rsidR="005672CE" w:rsidRPr="008A18EF">
              <w:rPr>
                <w:rFonts w:cs="Times New Roman"/>
                <w:sz w:val="24"/>
                <w:szCs w:val="24"/>
              </w:rPr>
              <w:t xml:space="preserve"> είναι αναρτημένος</w:t>
            </w:r>
            <w:r w:rsidR="00D27A4A">
              <w:rPr>
                <w:rFonts w:cs="Times New Roman"/>
                <w:sz w:val="24"/>
                <w:szCs w:val="24"/>
              </w:rPr>
              <w:t xml:space="preserve"> στην ιστοσελίδα του Οργανισμού.</w:t>
            </w:r>
          </w:p>
          <w:p w:rsidR="00142940" w:rsidRDefault="00142940" w:rsidP="0067646C">
            <w:pPr>
              <w:pStyle w:val="a7"/>
              <w:tabs>
                <w:tab w:val="left" w:pos="8789"/>
              </w:tabs>
              <w:ind w:left="1004"/>
              <w:jc w:val="both"/>
              <w:rPr>
                <w:rFonts w:cs="Times New Roman"/>
                <w:sz w:val="24"/>
                <w:szCs w:val="24"/>
              </w:rPr>
            </w:pPr>
          </w:p>
          <w:p w:rsidR="00D27A4A" w:rsidRPr="00D27A4A" w:rsidRDefault="00D27A4A" w:rsidP="00D27A4A">
            <w:pPr>
              <w:pStyle w:val="a7"/>
              <w:numPr>
                <w:ilvl w:val="0"/>
                <w:numId w:val="7"/>
              </w:num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27A4A">
              <w:rPr>
                <w:rFonts w:cs="Times New Roman"/>
                <w:sz w:val="24"/>
                <w:szCs w:val="24"/>
              </w:rPr>
              <w:t xml:space="preserve">Επισημαίνεται ότι για </w:t>
            </w:r>
            <w:r w:rsidRPr="00DA6FC2">
              <w:rPr>
                <w:rFonts w:cs="Times New Roman"/>
                <w:sz w:val="24"/>
                <w:szCs w:val="24"/>
              </w:rPr>
              <w:t>τους δικαιούχους του Ν.4270/2014 (</w:t>
            </w:r>
            <w:proofErr w:type="spellStart"/>
            <w:r w:rsidRPr="00DA6FC2">
              <w:rPr>
                <w:rFonts w:cs="Times New Roman"/>
                <w:sz w:val="24"/>
                <w:szCs w:val="24"/>
              </w:rPr>
              <w:t>σχετ</w:t>
            </w:r>
            <w:proofErr w:type="spellEnd"/>
            <w:r w:rsidRPr="00DA6FC2">
              <w:rPr>
                <w:rFonts w:cs="Times New Roman"/>
                <w:sz w:val="24"/>
                <w:szCs w:val="24"/>
              </w:rPr>
              <w:t>. υπ’ αρ. οικ. Γ.Π./ΟΙΚ.56432 (ΦΕΚ Β’ 1753/28.06.2014) Υ.Α.)</w:t>
            </w:r>
            <w:r w:rsidR="00584A4B">
              <w:rPr>
                <w:rFonts w:cs="Times New Roman"/>
                <w:sz w:val="24"/>
                <w:szCs w:val="24"/>
              </w:rPr>
              <w:t xml:space="preserve"> </w:t>
            </w:r>
            <w:r w:rsidR="00052AC7">
              <w:rPr>
                <w:rFonts w:cs="Times New Roman"/>
                <w:sz w:val="24"/>
                <w:szCs w:val="24"/>
              </w:rPr>
              <w:t xml:space="preserve">- </w:t>
            </w:r>
            <w:r w:rsidR="005E6513">
              <w:rPr>
                <w:rFonts w:cs="Times New Roman"/>
                <w:sz w:val="24"/>
                <w:szCs w:val="24"/>
              </w:rPr>
              <w:t>Α</w:t>
            </w:r>
            <w:r w:rsidR="00052AC7">
              <w:rPr>
                <w:rFonts w:cs="Times New Roman"/>
                <w:sz w:val="24"/>
                <w:szCs w:val="24"/>
              </w:rPr>
              <w:t>νασφάλιστο</w:t>
            </w:r>
            <w:r w:rsidR="00501FF8">
              <w:rPr>
                <w:rFonts w:cs="Times New Roman"/>
                <w:sz w:val="24"/>
                <w:szCs w:val="24"/>
              </w:rPr>
              <w:t>ι</w:t>
            </w:r>
            <w:r w:rsidRPr="00DA6FC2">
              <w:rPr>
                <w:rFonts w:cs="Times New Roman"/>
                <w:sz w:val="24"/>
                <w:szCs w:val="24"/>
              </w:rPr>
              <w:t xml:space="preserve">, </w:t>
            </w:r>
            <w:r w:rsidR="00052AC7">
              <w:rPr>
                <w:rFonts w:cs="Times New Roman"/>
                <w:sz w:val="24"/>
                <w:szCs w:val="24"/>
              </w:rPr>
              <w:t xml:space="preserve">όλα </w:t>
            </w:r>
            <w:r w:rsidRPr="00DA6FC2">
              <w:rPr>
                <w:rFonts w:cs="Times New Roman"/>
                <w:sz w:val="24"/>
                <w:szCs w:val="24"/>
              </w:rPr>
              <w:t>τα</w:t>
            </w:r>
            <w:r w:rsidRPr="00D27A4A">
              <w:rPr>
                <w:rFonts w:cs="Times New Roman"/>
                <w:sz w:val="24"/>
                <w:szCs w:val="24"/>
              </w:rPr>
              <w:t xml:space="preserve"> Φάρμακα υψηλού κόστους χορηγούνται </w:t>
            </w:r>
            <w:r w:rsidRPr="00D27A4A">
              <w:rPr>
                <w:rFonts w:cs="Times New Roman"/>
                <w:b/>
                <w:sz w:val="24"/>
                <w:szCs w:val="24"/>
              </w:rPr>
              <w:t>αποκλειστικά και μόνον</w:t>
            </w:r>
            <w:r w:rsidRPr="00D27A4A">
              <w:rPr>
                <w:rFonts w:cs="Times New Roman"/>
                <w:sz w:val="24"/>
                <w:szCs w:val="24"/>
              </w:rPr>
              <w:t xml:space="preserve"> από τα φαρμακεία του ΕΟΠΥΥ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B651F" w:rsidRPr="005672CE" w:rsidRDefault="00DB651F" w:rsidP="00DB651F">
            <w:pPr>
              <w:pStyle w:val="a7"/>
              <w:tabs>
                <w:tab w:val="left" w:pos="8789"/>
              </w:tabs>
              <w:ind w:left="1004"/>
              <w:jc w:val="both"/>
              <w:rPr>
                <w:rFonts w:cs="Times New Roman"/>
                <w:sz w:val="24"/>
                <w:szCs w:val="24"/>
              </w:rPr>
            </w:pPr>
          </w:p>
          <w:p w:rsidR="00DB651F" w:rsidRPr="00DB651F" w:rsidRDefault="00DB651F" w:rsidP="000162C4">
            <w:pPr>
              <w:pStyle w:val="a7"/>
              <w:numPr>
                <w:ilvl w:val="0"/>
                <w:numId w:val="7"/>
              </w:num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B651F">
              <w:rPr>
                <w:rFonts w:cs="Times New Roman"/>
                <w:sz w:val="24"/>
                <w:szCs w:val="24"/>
              </w:rPr>
              <w:t>Τα φαρμακευτικά προϊόντα της παρ. 2 του άρθρου 12 του Ν. 3816/2010,</w:t>
            </w:r>
            <w:r w:rsidR="000162C4">
              <w:t xml:space="preserve"> </w:t>
            </w:r>
            <w:r w:rsidR="000162C4" w:rsidRPr="000162C4">
              <w:rPr>
                <w:rFonts w:cs="Times New Roman"/>
                <w:sz w:val="24"/>
                <w:szCs w:val="24"/>
              </w:rPr>
              <w:t xml:space="preserve">όπως τροποποιημένος ισχύει, </w:t>
            </w:r>
            <w:r w:rsidRPr="00DB651F">
              <w:rPr>
                <w:rFonts w:cs="Times New Roman"/>
                <w:sz w:val="24"/>
                <w:szCs w:val="24"/>
              </w:rPr>
              <w:t xml:space="preserve">ανεξάρτητα από το δίκτυο χορήγησης τους, αποζημιώνονται πλήρως από τους ασφαλιστικούς φορείς και διατίθενται στους ασθενείς χωρίς συμμετοχή. </w:t>
            </w:r>
          </w:p>
          <w:p w:rsidR="00DB651F" w:rsidRDefault="00DB651F" w:rsidP="00DB651F">
            <w:pPr>
              <w:pStyle w:val="a7"/>
              <w:tabs>
                <w:tab w:val="left" w:pos="8789"/>
              </w:tabs>
              <w:ind w:left="1004"/>
              <w:jc w:val="both"/>
              <w:rPr>
                <w:rFonts w:cs="Times New Roman"/>
                <w:sz w:val="24"/>
                <w:szCs w:val="24"/>
              </w:rPr>
            </w:pPr>
          </w:p>
          <w:p w:rsidR="00DB651F" w:rsidRPr="00DB651F" w:rsidRDefault="00DB651F" w:rsidP="00DB651F">
            <w:pPr>
              <w:pStyle w:val="a7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DB651F">
              <w:rPr>
                <w:rFonts w:cs="Times New Roman"/>
                <w:sz w:val="24"/>
                <w:szCs w:val="24"/>
              </w:rPr>
              <w:t xml:space="preserve">Για τα φαρμακευτικά προϊόντα </w:t>
            </w:r>
            <w:r w:rsidRPr="000162C4">
              <w:rPr>
                <w:rFonts w:cs="Times New Roman"/>
                <w:sz w:val="24"/>
                <w:szCs w:val="24"/>
              </w:rPr>
              <w:t>της παρ. 2 του άρθρου 12 του Ν. 3816/201</w:t>
            </w:r>
            <w:r w:rsidR="000162C4" w:rsidRPr="000162C4">
              <w:rPr>
                <w:rFonts w:cs="Times New Roman"/>
                <w:sz w:val="24"/>
                <w:szCs w:val="24"/>
              </w:rPr>
              <w:t xml:space="preserve">0, όπως τροποποιημένος ισχύει, </w:t>
            </w:r>
            <w:r w:rsidRPr="000162C4">
              <w:rPr>
                <w:rFonts w:cs="Times New Roman"/>
                <w:sz w:val="24"/>
                <w:szCs w:val="24"/>
              </w:rPr>
              <w:t>που χορηγούνται</w:t>
            </w:r>
            <w:r>
              <w:rPr>
                <w:rFonts w:cs="Times New Roman"/>
                <w:sz w:val="24"/>
                <w:szCs w:val="24"/>
              </w:rPr>
              <w:t xml:space="preserve"> από τα ιδιωτικά φαρμακεία </w:t>
            </w:r>
            <w:r w:rsidRPr="00DB651F">
              <w:rPr>
                <w:rFonts w:cs="Times New Roman"/>
                <w:sz w:val="24"/>
                <w:szCs w:val="24"/>
              </w:rPr>
              <w:t xml:space="preserve">δεν εφαρμόζονται οι ισχύουσες διατάξεις για τα </w:t>
            </w:r>
            <w:proofErr w:type="spellStart"/>
            <w:r w:rsidRPr="00DB651F">
              <w:rPr>
                <w:rFonts w:cs="Times New Roman"/>
                <w:sz w:val="24"/>
                <w:szCs w:val="24"/>
              </w:rPr>
              <w:t>rebates</w:t>
            </w:r>
            <w:proofErr w:type="spellEnd"/>
            <w:r w:rsidRPr="00DB651F">
              <w:rPr>
                <w:rFonts w:cs="Times New Roman"/>
                <w:sz w:val="24"/>
                <w:szCs w:val="24"/>
              </w:rPr>
              <w:t xml:space="preserve"> κα</w:t>
            </w:r>
            <w:r>
              <w:rPr>
                <w:rFonts w:cs="Times New Roman"/>
                <w:sz w:val="24"/>
                <w:szCs w:val="24"/>
              </w:rPr>
              <w:t>ι τις εκπτώσεις των φαρμακείων.</w:t>
            </w:r>
          </w:p>
          <w:p w:rsidR="00DB651F" w:rsidRDefault="00DB651F" w:rsidP="00DB651F">
            <w:pPr>
              <w:pStyle w:val="a7"/>
              <w:tabs>
                <w:tab w:val="left" w:pos="8789"/>
              </w:tabs>
              <w:ind w:left="1004"/>
              <w:jc w:val="both"/>
              <w:rPr>
                <w:rFonts w:cs="Times New Roman"/>
                <w:sz w:val="24"/>
                <w:szCs w:val="24"/>
              </w:rPr>
            </w:pPr>
          </w:p>
          <w:p w:rsidR="005672CE" w:rsidRPr="005672CE" w:rsidRDefault="00DB651F" w:rsidP="00D600D2">
            <w:pPr>
              <w:pStyle w:val="a7"/>
              <w:numPr>
                <w:ilvl w:val="0"/>
                <w:numId w:val="7"/>
              </w:num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Ορίζεται ως</w:t>
            </w:r>
            <w:r w:rsidR="005672CE" w:rsidRPr="005672CE">
              <w:rPr>
                <w:rFonts w:cs="Times New Roman"/>
                <w:sz w:val="24"/>
                <w:szCs w:val="24"/>
              </w:rPr>
              <w:t xml:space="preserve"> ανώτατο </w:t>
            </w:r>
            <w:r>
              <w:rPr>
                <w:rFonts w:cs="Times New Roman"/>
                <w:sz w:val="24"/>
                <w:szCs w:val="24"/>
              </w:rPr>
              <w:t>όριο</w:t>
            </w:r>
            <w:r w:rsidR="005672CE" w:rsidRPr="005672CE">
              <w:rPr>
                <w:rFonts w:cs="Times New Roman"/>
                <w:sz w:val="24"/>
                <w:szCs w:val="24"/>
              </w:rPr>
              <w:t xml:space="preserve"> εκτέλεσης συνταγών των φαρμάκων της παρ. 2 άρθρου 12 του Ν. 3816/2010</w:t>
            </w:r>
            <w:r w:rsidR="00D600D2">
              <w:rPr>
                <w:rFonts w:cs="Times New Roman"/>
                <w:sz w:val="24"/>
                <w:szCs w:val="24"/>
              </w:rPr>
              <w:t>,</w:t>
            </w:r>
            <w:r w:rsidR="005672CE" w:rsidRPr="005672CE">
              <w:rPr>
                <w:rFonts w:cs="Times New Roman"/>
                <w:sz w:val="24"/>
                <w:szCs w:val="24"/>
              </w:rPr>
              <w:t xml:space="preserve"> </w:t>
            </w:r>
            <w:r w:rsidR="00D600D2" w:rsidRPr="00D600D2">
              <w:rPr>
                <w:rFonts w:cs="Times New Roman"/>
                <w:sz w:val="24"/>
                <w:szCs w:val="24"/>
              </w:rPr>
              <w:t xml:space="preserve">όπως τροποποιημένος ισχύει, </w:t>
            </w:r>
            <w:r w:rsidR="005672CE" w:rsidRPr="005672CE">
              <w:rPr>
                <w:rFonts w:cs="Times New Roman"/>
                <w:sz w:val="24"/>
                <w:szCs w:val="24"/>
              </w:rPr>
              <w:t xml:space="preserve">από τα ιδιωτικά φαρμακεία </w:t>
            </w:r>
            <w:r>
              <w:rPr>
                <w:rFonts w:cs="Times New Roman"/>
                <w:sz w:val="24"/>
                <w:szCs w:val="24"/>
              </w:rPr>
              <w:t>το</w:t>
            </w:r>
            <w:r w:rsidR="005672CE" w:rsidRPr="005672CE">
              <w:rPr>
                <w:rFonts w:cs="Times New Roman"/>
                <w:sz w:val="24"/>
                <w:szCs w:val="24"/>
              </w:rPr>
              <w:t xml:space="preserve"> ποσό των 20.000 Ευρώ ανά μία άδεια λειτουργίας φαρμακείου ανά μήνα.</w:t>
            </w:r>
          </w:p>
          <w:p w:rsidR="00B50852" w:rsidRPr="00192D6B" w:rsidRDefault="00F565B2" w:rsidP="00192D6B">
            <w:p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92D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82236" w:rsidRPr="005E2BC7" w:rsidRDefault="00F565B2" w:rsidP="00117B97">
            <w:pPr>
              <w:pStyle w:val="a7"/>
              <w:numPr>
                <w:ilvl w:val="0"/>
                <w:numId w:val="7"/>
              </w:numPr>
              <w:tabs>
                <w:tab w:val="left" w:pos="878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53F47">
              <w:rPr>
                <w:rFonts w:cs="Times New Roman"/>
                <w:sz w:val="24"/>
                <w:szCs w:val="24"/>
              </w:rPr>
              <w:t xml:space="preserve">Στην περίπτωση </w:t>
            </w:r>
            <w:r w:rsidR="00753F47" w:rsidRPr="00753F47">
              <w:rPr>
                <w:rFonts w:cs="Times New Roman"/>
                <w:sz w:val="24"/>
                <w:szCs w:val="24"/>
              </w:rPr>
              <w:t>χορήγησης από τα ιδιωτικά φαρμακεία</w:t>
            </w:r>
            <w:r w:rsidR="00753F47">
              <w:t xml:space="preserve"> </w:t>
            </w:r>
            <w:r w:rsidR="00753F47" w:rsidRPr="00753F47">
              <w:rPr>
                <w:rFonts w:cs="Times New Roman"/>
                <w:sz w:val="24"/>
                <w:szCs w:val="24"/>
              </w:rPr>
              <w:t xml:space="preserve">των φαρμακευτικών προϊόντων </w:t>
            </w:r>
            <w:r w:rsidR="00117B97" w:rsidRPr="00117B97">
              <w:rPr>
                <w:rFonts w:cs="Times New Roman"/>
                <w:sz w:val="24"/>
                <w:szCs w:val="24"/>
              </w:rPr>
              <w:t xml:space="preserve">των οποίων η χρήση δύναται να ξεκινήσει στο Νοσοκομείο και να συνεχιστεί εκτός </w:t>
            </w:r>
            <w:r w:rsidR="00117B97" w:rsidRPr="00117B97">
              <w:rPr>
                <w:rFonts w:cs="Times New Roman"/>
                <w:sz w:val="24"/>
                <w:szCs w:val="24"/>
              </w:rPr>
              <w:lastRenderedPageBreak/>
              <w:t>νοσοκομείου της παρ. 2 του άρθρου 12 του Ν. 3816/2010, και όπως τροποποιημένος ισχύει,</w:t>
            </w:r>
            <w:r w:rsidR="00753F47" w:rsidRPr="00753F47">
              <w:rPr>
                <w:rFonts w:cs="Times New Roman"/>
                <w:sz w:val="24"/>
                <w:szCs w:val="24"/>
              </w:rPr>
              <w:t xml:space="preserve"> </w:t>
            </w:r>
            <w:r w:rsidRPr="00753F47">
              <w:rPr>
                <w:rFonts w:cs="Times New Roman"/>
                <w:sz w:val="24"/>
                <w:szCs w:val="24"/>
              </w:rPr>
              <w:t xml:space="preserve">οι ΚΑΚ υπόκεινται στα ίδια </w:t>
            </w:r>
            <w:proofErr w:type="spellStart"/>
            <w:r w:rsidRPr="00753F47">
              <w:rPr>
                <w:rFonts w:cs="Times New Roman"/>
                <w:sz w:val="24"/>
                <w:szCs w:val="24"/>
              </w:rPr>
              <w:t>rebates</w:t>
            </w:r>
            <w:proofErr w:type="spellEnd"/>
            <w:r w:rsidRPr="00753F47">
              <w:rPr>
                <w:rFonts w:cs="Times New Roman"/>
                <w:sz w:val="24"/>
                <w:szCs w:val="24"/>
              </w:rPr>
              <w:t xml:space="preserve"> όγκου και εισαγωγής στον Θετικό Κατάλογο, που υπόκεινται τα υπόλοιπα φάρμακα που χορηγούνται δια μέσου των ιδιωτικών φαρμακείων, ενώ ειδικά για τα φάρμακα νέων δραστικών ισχύει επιπρόσθετη έκπτωση 5% για ένα έτος, σύμφωνα με τις διατάξεις </w:t>
            </w:r>
            <w:r w:rsidRPr="005E2BC7">
              <w:rPr>
                <w:rFonts w:cs="Times New Roman"/>
                <w:sz w:val="24"/>
                <w:szCs w:val="24"/>
              </w:rPr>
              <w:t xml:space="preserve">της κείμενης νομοθεσίας. </w:t>
            </w:r>
            <w:r w:rsidR="00B64C68" w:rsidRPr="005E2BC7">
              <w:rPr>
                <w:rFonts w:cs="Times New Roman"/>
                <w:sz w:val="24"/>
                <w:szCs w:val="24"/>
              </w:rPr>
              <w:t>Επιπρόσθετα,</w:t>
            </w:r>
            <w:r w:rsidR="00753F47" w:rsidRPr="005E2BC7">
              <w:rPr>
                <w:rFonts w:cs="Times New Roman"/>
                <w:sz w:val="24"/>
                <w:szCs w:val="24"/>
              </w:rPr>
              <w:t xml:space="preserve"> </w:t>
            </w:r>
            <w:r w:rsidR="00582236" w:rsidRPr="005E2BC7">
              <w:rPr>
                <w:rFonts w:cs="Times New Roman"/>
                <w:sz w:val="24"/>
                <w:szCs w:val="24"/>
              </w:rPr>
              <w:t>στη</w:t>
            </w:r>
            <w:r w:rsidR="00753F47" w:rsidRPr="005E2BC7">
              <w:rPr>
                <w:rFonts w:cs="Times New Roman"/>
                <w:sz w:val="24"/>
                <w:szCs w:val="24"/>
              </w:rPr>
              <w:t xml:space="preserve"> συγκεκριμένη</w:t>
            </w:r>
            <w:r w:rsidR="00582236" w:rsidRPr="005E2BC7">
              <w:rPr>
                <w:rFonts w:cs="Times New Roman"/>
                <w:sz w:val="24"/>
                <w:szCs w:val="24"/>
              </w:rPr>
              <w:t xml:space="preserve"> περίπτωση</w:t>
            </w:r>
            <w:r w:rsidR="00491B93" w:rsidRPr="005E2BC7">
              <w:rPr>
                <w:rFonts w:cs="Times New Roman"/>
                <w:sz w:val="24"/>
                <w:szCs w:val="24"/>
              </w:rPr>
              <w:t>,</w:t>
            </w:r>
            <w:r w:rsidR="00582236" w:rsidRPr="005E2BC7">
              <w:rPr>
                <w:rFonts w:cs="Times New Roman"/>
                <w:sz w:val="24"/>
                <w:szCs w:val="24"/>
              </w:rPr>
              <w:t xml:space="preserve"> ο ΕΟΠΥΥ επιβάλει πέραν του </w:t>
            </w:r>
            <w:proofErr w:type="spellStart"/>
            <w:r w:rsidR="00582236" w:rsidRPr="005E2BC7">
              <w:rPr>
                <w:rFonts w:cs="Times New Roman"/>
                <w:sz w:val="24"/>
                <w:szCs w:val="24"/>
              </w:rPr>
              <w:t>rebate</w:t>
            </w:r>
            <w:proofErr w:type="spellEnd"/>
            <w:r w:rsidR="00582236" w:rsidRPr="005E2BC7">
              <w:rPr>
                <w:rFonts w:cs="Times New Roman"/>
                <w:sz w:val="24"/>
                <w:szCs w:val="24"/>
              </w:rPr>
              <w:t xml:space="preserve"> της παρ</w:t>
            </w:r>
            <w:r w:rsidR="00753F47" w:rsidRPr="005E2BC7">
              <w:rPr>
                <w:rFonts w:cs="Times New Roman"/>
                <w:sz w:val="24"/>
                <w:szCs w:val="24"/>
              </w:rPr>
              <w:t>.</w:t>
            </w:r>
            <w:r w:rsidR="00582236" w:rsidRPr="005E2BC7">
              <w:rPr>
                <w:rFonts w:cs="Times New Roman"/>
                <w:sz w:val="24"/>
                <w:szCs w:val="24"/>
              </w:rPr>
              <w:t xml:space="preserve"> 1 </w:t>
            </w:r>
            <w:r w:rsidR="00753F47" w:rsidRPr="005E2BC7">
              <w:rPr>
                <w:rFonts w:cs="Times New Roman"/>
                <w:sz w:val="24"/>
                <w:szCs w:val="24"/>
              </w:rPr>
              <w:t xml:space="preserve">της υπ’ αρ. οικ. 45001/22-05-14 Υπουργικής Απόφασης </w:t>
            </w:r>
            <w:proofErr w:type="spellStart"/>
            <w:r w:rsidR="00582236" w:rsidRPr="005E2BC7">
              <w:rPr>
                <w:rFonts w:cs="Times New Roman"/>
                <w:sz w:val="24"/>
                <w:szCs w:val="24"/>
              </w:rPr>
              <w:t>rebate</w:t>
            </w:r>
            <w:proofErr w:type="spellEnd"/>
            <w:r w:rsidR="00582236" w:rsidRPr="005E2BC7">
              <w:rPr>
                <w:rFonts w:cs="Times New Roman"/>
                <w:sz w:val="24"/>
                <w:szCs w:val="24"/>
              </w:rPr>
              <w:t xml:space="preserve"> τέτοιο ώστε η τελική τιμή αγοράς για τον ΕΟΠΥΥ να είναι αντίστοιχη με εκείνη που επιτυγχάνεται όταν προμηθεύεται το φά</w:t>
            </w:r>
            <w:r w:rsidR="00753F47" w:rsidRPr="005E2BC7">
              <w:rPr>
                <w:rFonts w:cs="Times New Roman"/>
                <w:sz w:val="24"/>
                <w:szCs w:val="24"/>
              </w:rPr>
              <w:t xml:space="preserve">ρμακο αυτό από τα φαρμακεία του, συμπεριλαμβανομένου </w:t>
            </w:r>
            <w:r w:rsidR="0044281D">
              <w:rPr>
                <w:rFonts w:cs="Times New Roman"/>
                <w:sz w:val="24"/>
                <w:szCs w:val="24"/>
              </w:rPr>
              <w:t xml:space="preserve">στην τιμή προμήθειας </w:t>
            </w:r>
            <w:r w:rsidR="00753F47" w:rsidRPr="005E2BC7">
              <w:rPr>
                <w:rFonts w:cs="Times New Roman"/>
                <w:sz w:val="24"/>
                <w:szCs w:val="24"/>
              </w:rPr>
              <w:t xml:space="preserve">και του </w:t>
            </w:r>
            <w:r w:rsidR="00D9371B" w:rsidRPr="005E2BC7">
              <w:rPr>
                <w:rFonts w:cs="Times New Roman"/>
                <w:sz w:val="24"/>
                <w:szCs w:val="24"/>
              </w:rPr>
              <w:t>επιπλέον</w:t>
            </w:r>
            <w:r w:rsidR="00753F47" w:rsidRPr="005E2B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53F47" w:rsidRPr="005E2BC7">
              <w:rPr>
                <w:rFonts w:cs="Times New Roman"/>
                <w:sz w:val="24"/>
                <w:szCs w:val="24"/>
              </w:rPr>
              <w:t>rebate</w:t>
            </w:r>
            <w:proofErr w:type="spellEnd"/>
            <w:r w:rsidR="00753F47" w:rsidRPr="005E2BC7">
              <w:rPr>
                <w:rFonts w:cs="Times New Roman"/>
                <w:sz w:val="24"/>
                <w:szCs w:val="24"/>
              </w:rPr>
              <w:t xml:space="preserve"> που καθορίζεται α</w:t>
            </w:r>
            <w:r w:rsidR="00D9371B" w:rsidRPr="005E2BC7">
              <w:rPr>
                <w:rFonts w:cs="Times New Roman"/>
                <w:sz w:val="24"/>
                <w:szCs w:val="24"/>
              </w:rPr>
              <w:t xml:space="preserve">πό τη σχετική υπουργική απόφαση, καθώς και όλων των εκπτώσεων που έχει επιτύχει </w:t>
            </w:r>
            <w:r w:rsidR="0044281D">
              <w:rPr>
                <w:rFonts w:cs="Times New Roman"/>
                <w:sz w:val="24"/>
                <w:szCs w:val="24"/>
              </w:rPr>
              <w:t xml:space="preserve">ο ΕΟΠΥΥ </w:t>
            </w:r>
            <w:r w:rsidR="00D9371B" w:rsidRPr="005E2BC7">
              <w:rPr>
                <w:rFonts w:cs="Times New Roman"/>
                <w:sz w:val="24"/>
                <w:szCs w:val="24"/>
              </w:rPr>
              <w:t xml:space="preserve">στην προμήθεια των συγκεκριμένων φαρμάκων. </w:t>
            </w:r>
          </w:p>
          <w:p w:rsidR="00192D6B" w:rsidRPr="00192D6B" w:rsidRDefault="00192D6B" w:rsidP="00192D6B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303B3" w:rsidRDefault="008303B3" w:rsidP="00302037">
            <w:pPr>
              <w:tabs>
                <w:tab w:val="left" w:pos="8789"/>
              </w:tabs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192D6B">
              <w:rPr>
                <w:rFonts w:cs="Times New Roman"/>
                <w:sz w:val="24"/>
                <w:szCs w:val="24"/>
                <w:u w:val="single"/>
              </w:rPr>
              <w:t>Η ΗΔΙΚΑ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9371B">
              <w:rPr>
                <w:rFonts w:cs="Times New Roman"/>
                <w:sz w:val="24"/>
                <w:szCs w:val="24"/>
              </w:rPr>
              <w:t>θα πρέπει</w:t>
            </w:r>
            <w:r>
              <w:rPr>
                <w:rFonts w:cs="Times New Roman"/>
                <w:sz w:val="24"/>
                <w:szCs w:val="24"/>
              </w:rPr>
              <w:t xml:space="preserve"> να </w:t>
            </w:r>
            <w:r w:rsidR="00302037">
              <w:rPr>
                <w:rFonts w:cs="Times New Roman"/>
                <w:sz w:val="24"/>
                <w:szCs w:val="24"/>
              </w:rPr>
              <w:t>ενσωματώσει τις σχετικές αλλαγές σ</w:t>
            </w:r>
            <w:r w:rsidR="00D9371B">
              <w:rPr>
                <w:rFonts w:cs="Times New Roman"/>
                <w:sz w:val="24"/>
                <w:szCs w:val="24"/>
              </w:rPr>
              <w:t xml:space="preserve">την ηλεκτρονική </w:t>
            </w:r>
            <w:proofErr w:type="spellStart"/>
            <w:r w:rsidR="00D9371B">
              <w:rPr>
                <w:rFonts w:cs="Times New Roman"/>
                <w:sz w:val="24"/>
                <w:szCs w:val="24"/>
              </w:rPr>
              <w:t>συνταγογράφηση</w:t>
            </w:r>
            <w:proofErr w:type="spellEnd"/>
            <w:r w:rsidR="00D9371B">
              <w:rPr>
                <w:rFonts w:cs="Times New Roman"/>
                <w:sz w:val="24"/>
                <w:szCs w:val="24"/>
              </w:rPr>
              <w:t xml:space="preserve"> και </w:t>
            </w:r>
            <w:r w:rsidR="00D9371B" w:rsidRPr="00D36829">
              <w:rPr>
                <w:rFonts w:cs="Times New Roman"/>
                <w:sz w:val="24"/>
                <w:szCs w:val="24"/>
                <w:u w:val="single"/>
              </w:rPr>
              <w:t>η ΚΜΕΣ</w:t>
            </w:r>
            <w:r w:rsidR="0044281D">
              <w:rPr>
                <w:rFonts w:cs="Times New Roman"/>
                <w:sz w:val="24"/>
                <w:szCs w:val="24"/>
              </w:rPr>
              <w:t xml:space="preserve"> </w:t>
            </w:r>
            <w:r w:rsidR="00D9371B">
              <w:rPr>
                <w:rFonts w:cs="Times New Roman"/>
                <w:sz w:val="24"/>
                <w:szCs w:val="24"/>
              </w:rPr>
              <w:t xml:space="preserve"> </w:t>
            </w:r>
            <w:r w:rsidR="0044281D">
              <w:rPr>
                <w:rFonts w:cs="Times New Roman"/>
                <w:sz w:val="24"/>
                <w:szCs w:val="24"/>
              </w:rPr>
              <w:t>σ</w:t>
            </w:r>
            <w:r w:rsidR="00D9371B">
              <w:rPr>
                <w:rFonts w:cs="Times New Roman"/>
                <w:sz w:val="24"/>
                <w:szCs w:val="24"/>
              </w:rPr>
              <w:t>τη διαδικασία ελέγχου συνταγών και εκκαθάρισης λογαριασμών.</w:t>
            </w:r>
          </w:p>
          <w:p w:rsidR="009C2545" w:rsidRDefault="009C2545" w:rsidP="00302037">
            <w:pPr>
              <w:tabs>
                <w:tab w:val="left" w:pos="8789"/>
              </w:tabs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  <w:p w:rsidR="00C07476" w:rsidRPr="00F565B2" w:rsidRDefault="00C07476" w:rsidP="00F565B2">
            <w:pPr>
              <w:tabs>
                <w:tab w:val="left" w:pos="8789"/>
              </w:tabs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  <w:p w:rsidR="00D06334" w:rsidRPr="00F565B2" w:rsidRDefault="00E9749A" w:rsidP="00E9749A">
            <w:pPr>
              <w:spacing w:after="200" w:line="276" w:lineRule="auto"/>
              <w:ind w:left="113" w:right="113" w:firstLine="3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65B2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D06334" w:rsidRPr="00F565B2">
              <w:rPr>
                <w:rFonts w:cs="Times New Roman"/>
                <w:b/>
                <w:sz w:val="24"/>
                <w:szCs w:val="24"/>
              </w:rPr>
              <w:t>Ο  ΠΡΟΕΔΡΟΣ</w:t>
            </w:r>
          </w:p>
          <w:p w:rsidR="00D06334" w:rsidRPr="00F565B2" w:rsidRDefault="00D06334" w:rsidP="00E9749A">
            <w:pPr>
              <w:spacing w:after="200" w:line="276" w:lineRule="auto"/>
              <w:ind w:left="113" w:right="113" w:firstLine="428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65B2">
              <w:rPr>
                <w:rFonts w:cs="Times New Roman"/>
                <w:b/>
                <w:sz w:val="24"/>
                <w:szCs w:val="24"/>
              </w:rPr>
              <w:t>ΔΗΜΗΤΡΙΟΣ Α.ΚΟΝΤΟΣ</w:t>
            </w:r>
          </w:p>
          <w:p w:rsidR="00D06334" w:rsidRPr="00B47C2D" w:rsidRDefault="00D06334" w:rsidP="00D06334">
            <w:pPr>
              <w:ind w:left="113" w:right="113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07476" w:rsidRPr="00B47C2D" w:rsidTr="00A02693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476" w:rsidRPr="00126AEA" w:rsidRDefault="00C07476" w:rsidP="003B0208">
            <w:pPr>
              <w:tabs>
                <w:tab w:val="left" w:pos="8789"/>
              </w:tabs>
              <w:ind w:firstLine="284"/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F6DF8" w:rsidRPr="00126AEA" w:rsidRDefault="007F6DF8" w:rsidP="007F6DF8">
      <w:pPr>
        <w:pStyle w:val="Default"/>
        <w:ind w:left="-108"/>
        <w:rPr>
          <w:rFonts w:asciiTheme="minorHAnsi" w:hAnsiTheme="minorHAnsi"/>
          <w:b/>
          <w:sz w:val="22"/>
          <w:szCs w:val="22"/>
          <w:u w:val="single"/>
        </w:rPr>
      </w:pPr>
      <w:r w:rsidRPr="00126AEA">
        <w:rPr>
          <w:rFonts w:asciiTheme="minorHAnsi" w:hAnsiTheme="minorHAnsi"/>
          <w:b/>
          <w:sz w:val="22"/>
          <w:szCs w:val="22"/>
          <w:u w:val="single"/>
        </w:rPr>
        <w:t>ΕΣΩΤΕΡΙΚΗ ΔΙΑΝΟΜΗ</w:t>
      </w:r>
    </w:p>
    <w:p w:rsidR="007F6DF8" w:rsidRPr="00126AEA" w:rsidRDefault="007F6DF8" w:rsidP="007F6DF8">
      <w:pPr>
        <w:pStyle w:val="Default"/>
        <w:ind w:left="-108"/>
        <w:rPr>
          <w:rFonts w:asciiTheme="minorHAnsi" w:hAnsiTheme="minorHAnsi"/>
          <w:sz w:val="22"/>
          <w:szCs w:val="22"/>
        </w:rPr>
      </w:pPr>
      <w:r w:rsidRPr="00126AEA">
        <w:rPr>
          <w:rFonts w:asciiTheme="minorHAnsi" w:hAnsiTheme="minorHAnsi"/>
          <w:sz w:val="22"/>
          <w:szCs w:val="22"/>
        </w:rPr>
        <w:t>1.</w:t>
      </w:r>
      <w:r w:rsidR="00D76E19" w:rsidRPr="00126AEA">
        <w:rPr>
          <w:rFonts w:asciiTheme="minorHAnsi" w:hAnsiTheme="minorHAnsi"/>
          <w:sz w:val="22"/>
          <w:szCs w:val="22"/>
        </w:rPr>
        <w:t xml:space="preserve"> </w:t>
      </w:r>
      <w:r w:rsidRPr="00126AEA">
        <w:rPr>
          <w:rFonts w:asciiTheme="minorHAnsi" w:hAnsiTheme="minorHAnsi"/>
          <w:sz w:val="22"/>
          <w:szCs w:val="22"/>
        </w:rPr>
        <w:t>Γραφείο Προέδρου</w:t>
      </w:r>
    </w:p>
    <w:p w:rsidR="007F6DF8" w:rsidRPr="00126AEA" w:rsidRDefault="007F6DF8" w:rsidP="007F6DF8">
      <w:pPr>
        <w:pStyle w:val="Default"/>
        <w:ind w:left="-108"/>
        <w:rPr>
          <w:rFonts w:asciiTheme="minorHAnsi" w:hAnsiTheme="minorHAnsi"/>
          <w:sz w:val="22"/>
          <w:szCs w:val="22"/>
        </w:rPr>
      </w:pPr>
      <w:r w:rsidRPr="00126AEA">
        <w:rPr>
          <w:rFonts w:asciiTheme="minorHAnsi" w:hAnsiTheme="minorHAnsi"/>
          <w:sz w:val="22"/>
          <w:szCs w:val="22"/>
        </w:rPr>
        <w:t>2.</w:t>
      </w:r>
      <w:r w:rsidR="00D76E19" w:rsidRPr="00126AEA">
        <w:rPr>
          <w:rFonts w:asciiTheme="minorHAnsi" w:hAnsiTheme="minorHAnsi"/>
          <w:sz w:val="22"/>
          <w:szCs w:val="22"/>
        </w:rPr>
        <w:t xml:space="preserve"> </w:t>
      </w:r>
      <w:r w:rsidR="00126AEA" w:rsidRPr="00126AEA">
        <w:rPr>
          <w:rFonts w:asciiTheme="minorHAnsi" w:hAnsiTheme="minorHAnsi"/>
          <w:sz w:val="22"/>
          <w:szCs w:val="22"/>
        </w:rPr>
        <w:t xml:space="preserve">Γραφείο Αντιπροέδρου </w:t>
      </w:r>
    </w:p>
    <w:p w:rsidR="007F6DF8" w:rsidRPr="00126AEA" w:rsidRDefault="00126AEA" w:rsidP="0010701C">
      <w:pPr>
        <w:spacing w:after="0" w:line="0" w:lineRule="atLeast"/>
        <w:ind w:left="-108"/>
        <w:rPr>
          <w:rFonts w:cs="Times New Roman"/>
        </w:rPr>
      </w:pPr>
      <w:r w:rsidRPr="00126AEA">
        <w:rPr>
          <w:rFonts w:cs="Times New Roman"/>
        </w:rPr>
        <w:t>3</w:t>
      </w:r>
      <w:r w:rsidR="007F6DF8" w:rsidRPr="00126AEA">
        <w:rPr>
          <w:rFonts w:cs="Times New Roman"/>
        </w:rPr>
        <w:t>. Γραφείο Προϊσταμένου Γεν. Διεύθυνσης</w:t>
      </w:r>
    </w:p>
    <w:p w:rsidR="00E9749A" w:rsidRPr="00126AEA" w:rsidRDefault="0010701C" w:rsidP="00E9749A">
      <w:pPr>
        <w:spacing w:after="0" w:line="0" w:lineRule="atLeast"/>
        <w:ind w:left="-108"/>
        <w:rPr>
          <w:rFonts w:cs="Times New Roman"/>
        </w:rPr>
      </w:pPr>
      <w:r w:rsidRPr="00126AEA">
        <w:rPr>
          <w:rFonts w:cs="Times New Roman"/>
        </w:rPr>
        <w:t xml:space="preserve">Σχεδιασμού και </w:t>
      </w:r>
      <w:r w:rsidR="00EE2CA2" w:rsidRPr="00126AEA">
        <w:rPr>
          <w:rFonts w:cs="Times New Roman"/>
        </w:rPr>
        <w:t>Α</w:t>
      </w:r>
      <w:r w:rsidRPr="00126AEA">
        <w:rPr>
          <w:rFonts w:cs="Times New Roman"/>
        </w:rPr>
        <w:t xml:space="preserve">νάπτυξης </w:t>
      </w:r>
      <w:r w:rsidR="00EE2CA2" w:rsidRPr="00126AEA">
        <w:rPr>
          <w:rFonts w:cs="Times New Roman"/>
        </w:rPr>
        <w:t>Υπηρεσιών Υ</w:t>
      </w:r>
      <w:r w:rsidRPr="00126AEA">
        <w:rPr>
          <w:rFonts w:cs="Times New Roman"/>
        </w:rPr>
        <w:t>γείας</w:t>
      </w:r>
    </w:p>
    <w:p w:rsidR="00126AEA" w:rsidRDefault="00126AEA" w:rsidP="00A6198C">
      <w:pPr>
        <w:spacing w:after="0" w:line="0" w:lineRule="atLeast"/>
        <w:ind w:left="-108"/>
        <w:rPr>
          <w:rFonts w:cs="Times New Roman"/>
        </w:rPr>
      </w:pPr>
      <w:r w:rsidRPr="00126AEA">
        <w:rPr>
          <w:rFonts w:cs="Times New Roman"/>
        </w:rPr>
        <w:t>4</w:t>
      </w:r>
      <w:r w:rsidR="00E9749A" w:rsidRPr="00126AEA">
        <w:rPr>
          <w:rFonts w:cs="Times New Roman"/>
        </w:rPr>
        <w:t xml:space="preserve">. </w:t>
      </w:r>
      <w:r w:rsidRPr="00126AEA">
        <w:rPr>
          <w:rFonts w:cs="Times New Roman"/>
        </w:rPr>
        <w:t>Δ</w:t>
      </w:r>
      <w:r>
        <w:rPr>
          <w:rFonts w:cs="Times New Roman"/>
        </w:rPr>
        <w:t>/</w:t>
      </w:r>
      <w:proofErr w:type="spellStart"/>
      <w:r>
        <w:rPr>
          <w:rFonts w:cs="Times New Roman"/>
        </w:rPr>
        <w:t>ν</w:t>
      </w:r>
      <w:r w:rsidRPr="00126AEA">
        <w:rPr>
          <w:rFonts w:cs="Times New Roman"/>
        </w:rPr>
        <w:t>ση</w:t>
      </w:r>
      <w:proofErr w:type="spellEnd"/>
      <w:r w:rsidRPr="00126AEA">
        <w:rPr>
          <w:rFonts w:cs="Times New Roman"/>
        </w:rPr>
        <w:t xml:space="preserve"> Οικονομικών Υπηρεσιών </w:t>
      </w:r>
    </w:p>
    <w:p w:rsidR="00615DFE" w:rsidRDefault="00126AEA" w:rsidP="00A6198C">
      <w:pPr>
        <w:spacing w:after="0" w:line="0" w:lineRule="atLeast"/>
        <w:ind w:left="-108"/>
        <w:rPr>
          <w:rFonts w:cs="Times New Roman"/>
        </w:rPr>
      </w:pPr>
      <w:r w:rsidRPr="00126AEA">
        <w:rPr>
          <w:rFonts w:cs="Times New Roman"/>
        </w:rPr>
        <w:t xml:space="preserve">5. </w:t>
      </w:r>
      <w:r w:rsidR="0010701C" w:rsidRPr="00126AEA">
        <w:rPr>
          <w:rFonts w:cs="Times New Roman"/>
        </w:rPr>
        <w:t>Δ/</w:t>
      </w:r>
      <w:proofErr w:type="spellStart"/>
      <w:r w:rsidR="0010701C" w:rsidRPr="00126AEA">
        <w:rPr>
          <w:rFonts w:cs="Times New Roman"/>
        </w:rPr>
        <w:t>νση</w:t>
      </w:r>
      <w:proofErr w:type="spellEnd"/>
      <w:r w:rsidR="0010701C" w:rsidRPr="00126AEA">
        <w:rPr>
          <w:rFonts w:cs="Times New Roman"/>
        </w:rPr>
        <w:t xml:space="preserve"> Φαρμάκου</w:t>
      </w:r>
      <w:r w:rsidR="00993B84" w:rsidRPr="00E9749A">
        <w:rPr>
          <w:rFonts w:cs="Times New Roman"/>
        </w:rPr>
        <w:t xml:space="preserve"> </w:t>
      </w:r>
    </w:p>
    <w:p w:rsidR="00126AEA" w:rsidRDefault="00126AEA" w:rsidP="00A6198C">
      <w:pPr>
        <w:spacing w:after="0" w:line="0" w:lineRule="atLeast"/>
        <w:ind w:left="-108"/>
        <w:rPr>
          <w:sz w:val="24"/>
          <w:szCs w:val="24"/>
        </w:rPr>
      </w:pPr>
    </w:p>
    <w:sectPr w:rsidR="00126AEA" w:rsidSect="004409EE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EA" w:rsidRDefault="00EE3FEA" w:rsidP="000E7438">
      <w:pPr>
        <w:spacing w:after="0" w:line="240" w:lineRule="auto"/>
      </w:pPr>
      <w:r>
        <w:separator/>
      </w:r>
    </w:p>
  </w:endnote>
  <w:endnote w:type="continuationSeparator" w:id="0">
    <w:p w:rsidR="00EE3FEA" w:rsidRDefault="00EE3FEA" w:rsidP="000E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756691"/>
      <w:docPartObj>
        <w:docPartGallery w:val="Page Numbers (Bottom of Page)"/>
        <w:docPartUnique/>
      </w:docPartObj>
    </w:sdtPr>
    <w:sdtContent>
      <w:p w:rsidR="005E0DBF" w:rsidRDefault="009C2446">
        <w:pPr>
          <w:pStyle w:val="a6"/>
          <w:jc w:val="center"/>
        </w:pPr>
        <w:r>
          <w:fldChar w:fldCharType="begin"/>
        </w:r>
        <w:r w:rsidR="005E0DBF">
          <w:instrText>PAGE   \* MERGEFORMAT</w:instrText>
        </w:r>
        <w:r>
          <w:fldChar w:fldCharType="separate"/>
        </w:r>
        <w:r w:rsidR="00613565">
          <w:rPr>
            <w:noProof/>
          </w:rPr>
          <w:t>2</w:t>
        </w:r>
        <w:r>
          <w:fldChar w:fldCharType="end"/>
        </w:r>
      </w:p>
    </w:sdtContent>
  </w:sdt>
  <w:p w:rsidR="005E0DBF" w:rsidRDefault="005E0D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EA" w:rsidRDefault="00EE3FEA" w:rsidP="000E7438">
      <w:pPr>
        <w:spacing w:after="0" w:line="240" w:lineRule="auto"/>
      </w:pPr>
      <w:r>
        <w:separator/>
      </w:r>
    </w:p>
  </w:footnote>
  <w:footnote w:type="continuationSeparator" w:id="0">
    <w:p w:rsidR="00EE3FEA" w:rsidRDefault="00EE3FEA" w:rsidP="000E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38" w:rsidRDefault="00F9446E" w:rsidP="000E7438">
    <w:pPr>
      <w:pStyle w:val="a5"/>
      <w:tabs>
        <w:tab w:val="clear" w:pos="4153"/>
        <w:tab w:val="clear" w:pos="8306"/>
        <w:tab w:val="left" w:pos="3180"/>
      </w:tabs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4DD"/>
    <w:multiLevelType w:val="hybridMultilevel"/>
    <w:tmpl w:val="58844666"/>
    <w:lvl w:ilvl="0" w:tplc="B0F2C3D4">
      <w:start w:val="1"/>
      <w:numFmt w:val="decimal"/>
      <w:lvlText w:val="%1)"/>
      <w:lvlJc w:val="left"/>
      <w:pPr>
        <w:ind w:left="644" w:hanging="360"/>
      </w:pPr>
      <w:rPr>
        <w:rFonts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3A7D13"/>
    <w:multiLevelType w:val="hybridMultilevel"/>
    <w:tmpl w:val="50AA01A6"/>
    <w:lvl w:ilvl="0" w:tplc="C268BE54">
      <w:start w:val="6"/>
      <w:numFmt w:val="bullet"/>
      <w:lvlText w:val="-"/>
      <w:lvlJc w:val="left"/>
      <w:pPr>
        <w:ind w:left="704" w:hanging="36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>
    <w:nsid w:val="2F4B1507"/>
    <w:multiLevelType w:val="hybridMultilevel"/>
    <w:tmpl w:val="82046DFC"/>
    <w:lvl w:ilvl="0" w:tplc="D7741E1C">
      <w:start w:val="6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37102C3F"/>
    <w:multiLevelType w:val="hybridMultilevel"/>
    <w:tmpl w:val="43162854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85A24AC"/>
    <w:multiLevelType w:val="hybridMultilevel"/>
    <w:tmpl w:val="A0B8337C"/>
    <w:lvl w:ilvl="0" w:tplc="97E83AD2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FCA7805"/>
    <w:multiLevelType w:val="hybridMultilevel"/>
    <w:tmpl w:val="66F67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A4DE8"/>
    <w:multiLevelType w:val="hybridMultilevel"/>
    <w:tmpl w:val="F24E30B2"/>
    <w:lvl w:ilvl="0" w:tplc="A9D2502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F97570"/>
    <w:multiLevelType w:val="hybridMultilevel"/>
    <w:tmpl w:val="854677E8"/>
    <w:lvl w:ilvl="0" w:tplc="0408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A55E7"/>
    <w:multiLevelType w:val="hybridMultilevel"/>
    <w:tmpl w:val="0726A89E"/>
    <w:lvl w:ilvl="0" w:tplc="2ACEA16C">
      <w:start w:val="1"/>
      <w:numFmt w:val="decimal"/>
      <w:lvlText w:val="%1)"/>
      <w:lvlJc w:val="left"/>
      <w:pPr>
        <w:ind w:left="644" w:hanging="360"/>
      </w:pPr>
      <w:rPr>
        <w:rFonts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9A77E3"/>
    <w:multiLevelType w:val="hybridMultilevel"/>
    <w:tmpl w:val="08B0B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337A8"/>
    <w:multiLevelType w:val="hybridMultilevel"/>
    <w:tmpl w:val="D34E0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610DB"/>
    <w:multiLevelType w:val="hybridMultilevel"/>
    <w:tmpl w:val="D1FE73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B480F"/>
    <w:multiLevelType w:val="hybridMultilevel"/>
    <w:tmpl w:val="6394BBC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90059BF"/>
    <w:multiLevelType w:val="hybridMultilevel"/>
    <w:tmpl w:val="A858AF92"/>
    <w:lvl w:ilvl="0" w:tplc="005C0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66A83"/>
    <w:multiLevelType w:val="hybridMultilevel"/>
    <w:tmpl w:val="1F88F5A2"/>
    <w:lvl w:ilvl="0" w:tplc="E03290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578A1"/>
    <w:multiLevelType w:val="hybridMultilevel"/>
    <w:tmpl w:val="5C988D4C"/>
    <w:lvl w:ilvl="0" w:tplc="F38E445E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7" w:hanging="360"/>
      </w:pPr>
    </w:lvl>
    <w:lvl w:ilvl="2" w:tplc="0408001B" w:tentative="1">
      <w:start w:val="1"/>
      <w:numFmt w:val="lowerRoman"/>
      <w:lvlText w:val="%3."/>
      <w:lvlJc w:val="right"/>
      <w:pPr>
        <w:ind w:left="1737" w:hanging="180"/>
      </w:pPr>
    </w:lvl>
    <w:lvl w:ilvl="3" w:tplc="0408000F" w:tentative="1">
      <w:start w:val="1"/>
      <w:numFmt w:val="decimal"/>
      <w:lvlText w:val="%4."/>
      <w:lvlJc w:val="left"/>
      <w:pPr>
        <w:ind w:left="2457" w:hanging="360"/>
      </w:pPr>
    </w:lvl>
    <w:lvl w:ilvl="4" w:tplc="04080019" w:tentative="1">
      <w:start w:val="1"/>
      <w:numFmt w:val="lowerLetter"/>
      <w:lvlText w:val="%5."/>
      <w:lvlJc w:val="left"/>
      <w:pPr>
        <w:ind w:left="3177" w:hanging="360"/>
      </w:pPr>
    </w:lvl>
    <w:lvl w:ilvl="5" w:tplc="0408001B" w:tentative="1">
      <w:start w:val="1"/>
      <w:numFmt w:val="lowerRoman"/>
      <w:lvlText w:val="%6."/>
      <w:lvlJc w:val="right"/>
      <w:pPr>
        <w:ind w:left="3897" w:hanging="180"/>
      </w:pPr>
    </w:lvl>
    <w:lvl w:ilvl="6" w:tplc="0408000F" w:tentative="1">
      <w:start w:val="1"/>
      <w:numFmt w:val="decimal"/>
      <w:lvlText w:val="%7."/>
      <w:lvlJc w:val="left"/>
      <w:pPr>
        <w:ind w:left="4617" w:hanging="360"/>
      </w:pPr>
    </w:lvl>
    <w:lvl w:ilvl="7" w:tplc="04080019" w:tentative="1">
      <w:start w:val="1"/>
      <w:numFmt w:val="lowerLetter"/>
      <w:lvlText w:val="%8."/>
      <w:lvlJc w:val="left"/>
      <w:pPr>
        <w:ind w:left="5337" w:hanging="360"/>
      </w:pPr>
    </w:lvl>
    <w:lvl w:ilvl="8" w:tplc="0408001B" w:tentative="1">
      <w:start w:val="1"/>
      <w:numFmt w:val="lowerRoman"/>
      <w:lvlText w:val="%9."/>
      <w:lvlJc w:val="right"/>
      <w:pPr>
        <w:ind w:left="6057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34"/>
    <w:rsid w:val="00004ED1"/>
    <w:rsid w:val="000123B8"/>
    <w:rsid w:val="000162C4"/>
    <w:rsid w:val="0002489B"/>
    <w:rsid w:val="0004120D"/>
    <w:rsid w:val="00052AC7"/>
    <w:rsid w:val="000537BF"/>
    <w:rsid w:val="00065D42"/>
    <w:rsid w:val="0006734D"/>
    <w:rsid w:val="00087207"/>
    <w:rsid w:val="000B6CF7"/>
    <w:rsid w:val="000D5BA6"/>
    <w:rsid w:val="000D6C05"/>
    <w:rsid w:val="000E7438"/>
    <w:rsid w:val="00101E1B"/>
    <w:rsid w:val="0010701C"/>
    <w:rsid w:val="00112DE5"/>
    <w:rsid w:val="00117B97"/>
    <w:rsid w:val="00126AEA"/>
    <w:rsid w:val="00142940"/>
    <w:rsid w:val="001456F3"/>
    <w:rsid w:val="00155B9D"/>
    <w:rsid w:val="00174F00"/>
    <w:rsid w:val="0018725B"/>
    <w:rsid w:val="00192D6B"/>
    <w:rsid w:val="00194027"/>
    <w:rsid w:val="0019677F"/>
    <w:rsid w:val="00197E49"/>
    <w:rsid w:val="001A2482"/>
    <w:rsid w:val="001B32FD"/>
    <w:rsid w:val="001E60EF"/>
    <w:rsid w:val="001F262E"/>
    <w:rsid w:val="002138AF"/>
    <w:rsid w:val="00233C33"/>
    <w:rsid w:val="00246297"/>
    <w:rsid w:val="00246539"/>
    <w:rsid w:val="00270127"/>
    <w:rsid w:val="00282D6A"/>
    <w:rsid w:val="00287557"/>
    <w:rsid w:val="002A1998"/>
    <w:rsid w:val="002A4624"/>
    <w:rsid w:val="002C20C2"/>
    <w:rsid w:val="002D1949"/>
    <w:rsid w:val="002E6AC9"/>
    <w:rsid w:val="00302037"/>
    <w:rsid w:val="00302A11"/>
    <w:rsid w:val="00303EBB"/>
    <w:rsid w:val="00321F9C"/>
    <w:rsid w:val="0032382E"/>
    <w:rsid w:val="0032464B"/>
    <w:rsid w:val="00324783"/>
    <w:rsid w:val="003445D0"/>
    <w:rsid w:val="00345203"/>
    <w:rsid w:val="003564F7"/>
    <w:rsid w:val="00356FD2"/>
    <w:rsid w:val="003610AE"/>
    <w:rsid w:val="003725CF"/>
    <w:rsid w:val="003729D0"/>
    <w:rsid w:val="0038101C"/>
    <w:rsid w:val="00385B73"/>
    <w:rsid w:val="0039263E"/>
    <w:rsid w:val="00397541"/>
    <w:rsid w:val="003A7A09"/>
    <w:rsid w:val="003B0208"/>
    <w:rsid w:val="003C20E8"/>
    <w:rsid w:val="003D71B7"/>
    <w:rsid w:val="003F08EE"/>
    <w:rsid w:val="003F6182"/>
    <w:rsid w:val="003F7694"/>
    <w:rsid w:val="004046E5"/>
    <w:rsid w:val="00405F82"/>
    <w:rsid w:val="00412ECC"/>
    <w:rsid w:val="00430849"/>
    <w:rsid w:val="0043181F"/>
    <w:rsid w:val="00435DC8"/>
    <w:rsid w:val="0044281D"/>
    <w:rsid w:val="00452802"/>
    <w:rsid w:val="004860AE"/>
    <w:rsid w:val="00491B93"/>
    <w:rsid w:val="004A634D"/>
    <w:rsid w:val="004A63D4"/>
    <w:rsid w:val="004B04C9"/>
    <w:rsid w:val="004B0935"/>
    <w:rsid w:val="004B24CA"/>
    <w:rsid w:val="004D2C01"/>
    <w:rsid w:val="004E08F9"/>
    <w:rsid w:val="00501FF8"/>
    <w:rsid w:val="005134D9"/>
    <w:rsid w:val="00515D2C"/>
    <w:rsid w:val="00520B1D"/>
    <w:rsid w:val="0053027E"/>
    <w:rsid w:val="005504AE"/>
    <w:rsid w:val="005672CE"/>
    <w:rsid w:val="00582236"/>
    <w:rsid w:val="00584A4B"/>
    <w:rsid w:val="00591FE0"/>
    <w:rsid w:val="00595A40"/>
    <w:rsid w:val="005B0237"/>
    <w:rsid w:val="005C5A0B"/>
    <w:rsid w:val="005D55D7"/>
    <w:rsid w:val="005D5FFC"/>
    <w:rsid w:val="005E0DBF"/>
    <w:rsid w:val="005E2BC7"/>
    <w:rsid w:val="005E6513"/>
    <w:rsid w:val="005E6FD2"/>
    <w:rsid w:val="005F3A61"/>
    <w:rsid w:val="005F4FF5"/>
    <w:rsid w:val="006110A2"/>
    <w:rsid w:val="00612827"/>
    <w:rsid w:val="00613565"/>
    <w:rsid w:val="00613F01"/>
    <w:rsid w:val="00615DFE"/>
    <w:rsid w:val="00626243"/>
    <w:rsid w:val="00630815"/>
    <w:rsid w:val="00633846"/>
    <w:rsid w:val="006379D7"/>
    <w:rsid w:val="00654BBB"/>
    <w:rsid w:val="006603A0"/>
    <w:rsid w:val="006673CE"/>
    <w:rsid w:val="0067277B"/>
    <w:rsid w:val="0067646C"/>
    <w:rsid w:val="00684524"/>
    <w:rsid w:val="006C2E4E"/>
    <w:rsid w:val="006D699A"/>
    <w:rsid w:val="006E31D5"/>
    <w:rsid w:val="006E353C"/>
    <w:rsid w:val="006F1EAC"/>
    <w:rsid w:val="007233A1"/>
    <w:rsid w:val="00737EED"/>
    <w:rsid w:val="00750008"/>
    <w:rsid w:val="00753F47"/>
    <w:rsid w:val="0075461C"/>
    <w:rsid w:val="00754B24"/>
    <w:rsid w:val="007664BB"/>
    <w:rsid w:val="00766F0E"/>
    <w:rsid w:val="007828B4"/>
    <w:rsid w:val="0078627D"/>
    <w:rsid w:val="00794CA6"/>
    <w:rsid w:val="00796D09"/>
    <w:rsid w:val="007A06A9"/>
    <w:rsid w:val="007A0A39"/>
    <w:rsid w:val="007A51C3"/>
    <w:rsid w:val="007B7F87"/>
    <w:rsid w:val="007C061F"/>
    <w:rsid w:val="007D3193"/>
    <w:rsid w:val="007D4118"/>
    <w:rsid w:val="007E1CF5"/>
    <w:rsid w:val="007F6DF8"/>
    <w:rsid w:val="00801C9D"/>
    <w:rsid w:val="0080317E"/>
    <w:rsid w:val="00804F36"/>
    <w:rsid w:val="00807DD2"/>
    <w:rsid w:val="008109E9"/>
    <w:rsid w:val="00811F17"/>
    <w:rsid w:val="008139A9"/>
    <w:rsid w:val="0082007B"/>
    <w:rsid w:val="008231CC"/>
    <w:rsid w:val="008303B3"/>
    <w:rsid w:val="0083114A"/>
    <w:rsid w:val="00852900"/>
    <w:rsid w:val="00865DEE"/>
    <w:rsid w:val="008664E3"/>
    <w:rsid w:val="008674B3"/>
    <w:rsid w:val="008931C6"/>
    <w:rsid w:val="008A18EF"/>
    <w:rsid w:val="008A3601"/>
    <w:rsid w:val="008B224D"/>
    <w:rsid w:val="008B2EBE"/>
    <w:rsid w:val="008D3BB2"/>
    <w:rsid w:val="008D7B02"/>
    <w:rsid w:val="008E44C4"/>
    <w:rsid w:val="008E550B"/>
    <w:rsid w:val="008F2FDD"/>
    <w:rsid w:val="00900762"/>
    <w:rsid w:val="00903855"/>
    <w:rsid w:val="00913DE4"/>
    <w:rsid w:val="0095143A"/>
    <w:rsid w:val="00974D02"/>
    <w:rsid w:val="00990815"/>
    <w:rsid w:val="00992AD6"/>
    <w:rsid w:val="00993B84"/>
    <w:rsid w:val="0099797F"/>
    <w:rsid w:val="009A4172"/>
    <w:rsid w:val="009C2446"/>
    <w:rsid w:val="009C2545"/>
    <w:rsid w:val="009C3B65"/>
    <w:rsid w:val="009C6319"/>
    <w:rsid w:val="009D57E1"/>
    <w:rsid w:val="009D5BF2"/>
    <w:rsid w:val="009F2872"/>
    <w:rsid w:val="00A01C1B"/>
    <w:rsid w:val="00A071D8"/>
    <w:rsid w:val="00A07E73"/>
    <w:rsid w:val="00A170B7"/>
    <w:rsid w:val="00A3274B"/>
    <w:rsid w:val="00A34FC4"/>
    <w:rsid w:val="00A36EE6"/>
    <w:rsid w:val="00A45B9D"/>
    <w:rsid w:val="00A475B5"/>
    <w:rsid w:val="00A50045"/>
    <w:rsid w:val="00A51FB8"/>
    <w:rsid w:val="00A5269B"/>
    <w:rsid w:val="00A52B33"/>
    <w:rsid w:val="00A6198C"/>
    <w:rsid w:val="00A7580A"/>
    <w:rsid w:val="00A7683B"/>
    <w:rsid w:val="00A80B58"/>
    <w:rsid w:val="00A967B5"/>
    <w:rsid w:val="00AB0FD6"/>
    <w:rsid w:val="00AD4AC1"/>
    <w:rsid w:val="00AF25BA"/>
    <w:rsid w:val="00AF64B5"/>
    <w:rsid w:val="00B06698"/>
    <w:rsid w:val="00B07891"/>
    <w:rsid w:val="00B47C2D"/>
    <w:rsid w:val="00B50852"/>
    <w:rsid w:val="00B5167C"/>
    <w:rsid w:val="00B5781E"/>
    <w:rsid w:val="00B61E21"/>
    <w:rsid w:val="00B6476C"/>
    <w:rsid w:val="00B64C68"/>
    <w:rsid w:val="00B65B00"/>
    <w:rsid w:val="00B740E6"/>
    <w:rsid w:val="00B77412"/>
    <w:rsid w:val="00B828FD"/>
    <w:rsid w:val="00B83AC3"/>
    <w:rsid w:val="00B86F82"/>
    <w:rsid w:val="00B90BAF"/>
    <w:rsid w:val="00B96195"/>
    <w:rsid w:val="00BA14A5"/>
    <w:rsid w:val="00BB253B"/>
    <w:rsid w:val="00BC6200"/>
    <w:rsid w:val="00BD1D47"/>
    <w:rsid w:val="00BD47D8"/>
    <w:rsid w:val="00BE390A"/>
    <w:rsid w:val="00BE4B75"/>
    <w:rsid w:val="00BE7385"/>
    <w:rsid w:val="00C039E3"/>
    <w:rsid w:val="00C07476"/>
    <w:rsid w:val="00C1158B"/>
    <w:rsid w:val="00C20B11"/>
    <w:rsid w:val="00C21922"/>
    <w:rsid w:val="00C25359"/>
    <w:rsid w:val="00C36A4F"/>
    <w:rsid w:val="00C4280D"/>
    <w:rsid w:val="00C53D61"/>
    <w:rsid w:val="00C54775"/>
    <w:rsid w:val="00C57A3F"/>
    <w:rsid w:val="00C7060B"/>
    <w:rsid w:val="00C70AB1"/>
    <w:rsid w:val="00C73C17"/>
    <w:rsid w:val="00C74257"/>
    <w:rsid w:val="00C7509A"/>
    <w:rsid w:val="00C905A7"/>
    <w:rsid w:val="00C97B94"/>
    <w:rsid w:val="00CB11CF"/>
    <w:rsid w:val="00CB1F7B"/>
    <w:rsid w:val="00CC5527"/>
    <w:rsid w:val="00CC5FA9"/>
    <w:rsid w:val="00CF7C35"/>
    <w:rsid w:val="00D03B0C"/>
    <w:rsid w:val="00D04F62"/>
    <w:rsid w:val="00D054A5"/>
    <w:rsid w:val="00D06334"/>
    <w:rsid w:val="00D06364"/>
    <w:rsid w:val="00D11B31"/>
    <w:rsid w:val="00D23161"/>
    <w:rsid w:val="00D23449"/>
    <w:rsid w:val="00D27A4A"/>
    <w:rsid w:val="00D36100"/>
    <w:rsid w:val="00D36829"/>
    <w:rsid w:val="00D41EFD"/>
    <w:rsid w:val="00D477A2"/>
    <w:rsid w:val="00D50809"/>
    <w:rsid w:val="00D600D2"/>
    <w:rsid w:val="00D61518"/>
    <w:rsid w:val="00D744B8"/>
    <w:rsid w:val="00D76D07"/>
    <w:rsid w:val="00D76E19"/>
    <w:rsid w:val="00D920E2"/>
    <w:rsid w:val="00D9371B"/>
    <w:rsid w:val="00DA1205"/>
    <w:rsid w:val="00DA4FEF"/>
    <w:rsid w:val="00DA6FC2"/>
    <w:rsid w:val="00DA720B"/>
    <w:rsid w:val="00DA7F68"/>
    <w:rsid w:val="00DB1BA6"/>
    <w:rsid w:val="00DB4F40"/>
    <w:rsid w:val="00DB651F"/>
    <w:rsid w:val="00DC5972"/>
    <w:rsid w:val="00DD59AF"/>
    <w:rsid w:val="00DF16FF"/>
    <w:rsid w:val="00DF427A"/>
    <w:rsid w:val="00DF7F63"/>
    <w:rsid w:val="00E02022"/>
    <w:rsid w:val="00E129E8"/>
    <w:rsid w:val="00E13987"/>
    <w:rsid w:val="00E30221"/>
    <w:rsid w:val="00E3168D"/>
    <w:rsid w:val="00E34DFA"/>
    <w:rsid w:val="00E42DD3"/>
    <w:rsid w:val="00E47267"/>
    <w:rsid w:val="00E66F31"/>
    <w:rsid w:val="00E701C8"/>
    <w:rsid w:val="00E74FA6"/>
    <w:rsid w:val="00E9749A"/>
    <w:rsid w:val="00EB07DC"/>
    <w:rsid w:val="00EB656F"/>
    <w:rsid w:val="00EB7CF2"/>
    <w:rsid w:val="00ED3A58"/>
    <w:rsid w:val="00ED6170"/>
    <w:rsid w:val="00ED6D93"/>
    <w:rsid w:val="00EE2CA2"/>
    <w:rsid w:val="00EE3FEA"/>
    <w:rsid w:val="00EE47EA"/>
    <w:rsid w:val="00EE4A80"/>
    <w:rsid w:val="00EE7EA9"/>
    <w:rsid w:val="00F043CF"/>
    <w:rsid w:val="00F22E01"/>
    <w:rsid w:val="00F34AAB"/>
    <w:rsid w:val="00F447DC"/>
    <w:rsid w:val="00F51BDD"/>
    <w:rsid w:val="00F536B6"/>
    <w:rsid w:val="00F565B2"/>
    <w:rsid w:val="00F632AC"/>
    <w:rsid w:val="00F74DB7"/>
    <w:rsid w:val="00F9446E"/>
    <w:rsid w:val="00FA2BFB"/>
    <w:rsid w:val="00FA721C"/>
    <w:rsid w:val="00FB4F64"/>
    <w:rsid w:val="00FC009F"/>
    <w:rsid w:val="00FC30F8"/>
    <w:rsid w:val="00FC5BFC"/>
    <w:rsid w:val="00FD0E25"/>
    <w:rsid w:val="00FE35AD"/>
    <w:rsid w:val="00FF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0633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0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E7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E7438"/>
  </w:style>
  <w:style w:type="paragraph" w:styleId="a6">
    <w:name w:val="footer"/>
    <w:basedOn w:val="a"/>
    <w:link w:val="Char1"/>
    <w:uiPriority w:val="99"/>
    <w:unhideWhenUsed/>
    <w:rsid w:val="000E7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7438"/>
  </w:style>
  <w:style w:type="paragraph" w:styleId="a7">
    <w:name w:val="List Paragraph"/>
    <w:basedOn w:val="a"/>
    <w:uiPriority w:val="34"/>
    <w:qFormat/>
    <w:rsid w:val="00BE4B7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E1CF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E1CF5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E1CF5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E1CF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E1C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6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0633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0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E7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E7438"/>
  </w:style>
  <w:style w:type="paragraph" w:styleId="a6">
    <w:name w:val="footer"/>
    <w:basedOn w:val="a"/>
    <w:link w:val="Char1"/>
    <w:uiPriority w:val="99"/>
    <w:unhideWhenUsed/>
    <w:rsid w:val="000E7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7438"/>
  </w:style>
  <w:style w:type="paragraph" w:styleId="a7">
    <w:name w:val="List Paragraph"/>
    <w:basedOn w:val="a"/>
    <w:uiPriority w:val="34"/>
    <w:qFormat/>
    <w:rsid w:val="00BE4B7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E1CF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E1CF5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E1CF5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E1CF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E1C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ypad@yyka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3953-B27B-4EAD-A45F-4E95A73B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marinos</cp:lastModifiedBy>
  <cp:revision>2</cp:revision>
  <cp:lastPrinted>2014-09-11T13:40:00Z</cp:lastPrinted>
  <dcterms:created xsi:type="dcterms:W3CDTF">2014-11-07T19:12:00Z</dcterms:created>
  <dcterms:modified xsi:type="dcterms:W3CDTF">2014-11-07T19:12:00Z</dcterms:modified>
</cp:coreProperties>
</file>