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C8" w:rsidRPr="00215650" w:rsidRDefault="005833C8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bookmarkStart w:id="0" w:name="_GoBack"/>
      <w:bookmarkEnd w:id="0"/>
    </w:p>
    <w:p w:rsidR="00195EB7" w:rsidRPr="00215650" w:rsidRDefault="005833C8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u w:val="single"/>
          <w:lang w:val="el-GR"/>
        </w:rPr>
      </w:pPr>
      <w:r w:rsidRPr="00215650">
        <w:rPr>
          <w:rFonts w:asciiTheme="minorHAnsi" w:hAnsiTheme="minorHAnsi" w:cstheme="minorHAnsi"/>
          <w:sz w:val="28"/>
          <w:szCs w:val="28"/>
          <w:u w:val="single"/>
          <w:lang w:val="el-GR"/>
        </w:rPr>
        <w:t>Δή</w:t>
      </w:r>
      <w:r w:rsidR="005E016F" w:rsidRPr="00215650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λωση </w:t>
      </w:r>
      <w:r w:rsidR="00363A5E" w:rsidRPr="00215650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τοποθέτησης </w:t>
      </w:r>
      <w:r w:rsidR="0091382D">
        <w:rPr>
          <w:rFonts w:asciiTheme="minorHAnsi" w:hAnsiTheme="minorHAnsi" w:cstheme="minorHAnsi"/>
          <w:sz w:val="28"/>
          <w:szCs w:val="28"/>
          <w:u w:val="single"/>
          <w:lang w:val="el-GR"/>
        </w:rPr>
        <w:t>σχετικά με το</w:t>
      </w:r>
      <w:r w:rsidR="005E016F" w:rsidRPr="00215650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 επιστημονικ</w:t>
      </w:r>
      <w:r w:rsidR="0091382D">
        <w:rPr>
          <w:rFonts w:asciiTheme="minorHAnsi" w:hAnsiTheme="minorHAnsi" w:cstheme="minorHAnsi"/>
          <w:sz w:val="28"/>
          <w:szCs w:val="28"/>
          <w:u w:val="single"/>
          <w:lang w:val="el-GR"/>
        </w:rPr>
        <w:t>ό</w:t>
      </w:r>
      <w:r w:rsidRPr="00215650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 σκεπτικό για την υποστήρι</w:t>
      </w:r>
      <w:r w:rsidR="005E016F" w:rsidRPr="00215650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ξη της </w:t>
      </w:r>
      <w:proofErr w:type="spellStart"/>
      <w:r w:rsidR="005E016F" w:rsidRPr="0091382D">
        <w:rPr>
          <w:rFonts w:asciiTheme="minorHAnsi" w:hAnsiTheme="minorHAnsi" w:cstheme="minorHAnsi"/>
          <w:i/>
          <w:sz w:val="28"/>
          <w:szCs w:val="28"/>
          <w:u w:val="single"/>
          <w:lang w:val="el-GR"/>
        </w:rPr>
        <w:t>ανταλλαξιμότητας</w:t>
      </w:r>
      <w:proofErr w:type="spellEnd"/>
      <w:r w:rsidR="00FD248D" w:rsidRPr="00FD248D">
        <w:rPr>
          <w:rFonts w:asciiTheme="minorHAnsi" w:hAnsiTheme="minorHAnsi" w:cstheme="minorHAnsi"/>
          <w:i/>
          <w:sz w:val="28"/>
          <w:szCs w:val="28"/>
          <w:u w:val="single"/>
          <w:lang w:val="el-GR"/>
        </w:rPr>
        <w:t xml:space="preserve"> </w:t>
      </w:r>
      <w:r w:rsidR="0091382D" w:rsidRPr="0091382D">
        <w:rPr>
          <w:rFonts w:asciiTheme="minorHAnsi" w:hAnsiTheme="minorHAnsi" w:cstheme="minorHAnsi"/>
          <w:i/>
          <w:sz w:val="28"/>
          <w:szCs w:val="28"/>
          <w:u w:val="single"/>
          <w:lang w:val="el-GR"/>
        </w:rPr>
        <w:t>(</w:t>
      </w:r>
      <w:proofErr w:type="spellStart"/>
      <w:r w:rsidR="0091382D" w:rsidRPr="0091382D">
        <w:rPr>
          <w:rFonts w:asciiTheme="minorHAnsi" w:hAnsiTheme="minorHAnsi" w:cstheme="minorHAnsi"/>
          <w:i/>
          <w:sz w:val="28"/>
          <w:szCs w:val="28"/>
          <w:u w:val="single"/>
          <w:lang w:val="el-GR"/>
        </w:rPr>
        <w:t>interchangeability</w:t>
      </w:r>
      <w:proofErr w:type="spellEnd"/>
      <w:r w:rsidR="0091382D" w:rsidRPr="0091382D">
        <w:rPr>
          <w:rFonts w:asciiTheme="minorHAnsi" w:hAnsiTheme="minorHAnsi" w:cstheme="minorHAnsi"/>
          <w:i/>
          <w:sz w:val="28"/>
          <w:szCs w:val="28"/>
          <w:u w:val="single"/>
          <w:lang w:val="el-GR"/>
        </w:rPr>
        <w:t>)</w:t>
      </w:r>
      <w:r w:rsidR="00FD248D" w:rsidRPr="00FD248D">
        <w:rPr>
          <w:rFonts w:asciiTheme="minorHAnsi" w:hAnsiTheme="minorHAnsi" w:cstheme="minorHAnsi"/>
          <w:i/>
          <w:sz w:val="28"/>
          <w:szCs w:val="28"/>
          <w:u w:val="single"/>
          <w:lang w:val="el-GR"/>
        </w:rPr>
        <w:t xml:space="preserve"> </w:t>
      </w:r>
      <w:r w:rsidR="005E016F" w:rsidRPr="00215650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των </w:t>
      </w:r>
      <w:proofErr w:type="spellStart"/>
      <w:r w:rsidR="005E016F" w:rsidRPr="00215650">
        <w:rPr>
          <w:rFonts w:asciiTheme="minorHAnsi" w:hAnsiTheme="minorHAnsi" w:cstheme="minorHAnsi"/>
          <w:sz w:val="28"/>
          <w:szCs w:val="28"/>
          <w:u w:val="single"/>
          <w:lang w:val="el-GR"/>
        </w:rPr>
        <w:t>βιο</w:t>
      </w:r>
      <w:r w:rsidRPr="00215650">
        <w:rPr>
          <w:rFonts w:asciiTheme="minorHAnsi" w:hAnsiTheme="minorHAnsi" w:cstheme="minorHAnsi"/>
          <w:sz w:val="28"/>
          <w:szCs w:val="28"/>
          <w:u w:val="single"/>
          <w:lang w:val="el-GR"/>
        </w:rPr>
        <w:t>ομοειδών</w:t>
      </w:r>
      <w:proofErr w:type="spellEnd"/>
      <w:r w:rsidRPr="00215650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 φαρμ</w:t>
      </w:r>
      <w:r w:rsidR="00400B8B">
        <w:rPr>
          <w:rFonts w:asciiTheme="minorHAnsi" w:hAnsiTheme="minorHAnsi" w:cstheme="minorHAnsi"/>
          <w:sz w:val="28"/>
          <w:szCs w:val="28"/>
          <w:u w:val="single"/>
          <w:lang w:val="el-GR"/>
        </w:rPr>
        <w:t>άκων</w:t>
      </w:r>
      <w:r w:rsidRPr="00215650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 στην ΕΕ</w:t>
      </w:r>
    </w:p>
    <w:p w:rsidR="005833C8" w:rsidRPr="00215650" w:rsidRDefault="005833C8" w:rsidP="005C09C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  <w:lang w:val="el-GR"/>
        </w:rPr>
      </w:pPr>
    </w:p>
    <w:p w:rsidR="005833C8" w:rsidRPr="00215650" w:rsidRDefault="005833C8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15650">
        <w:rPr>
          <w:rFonts w:asciiTheme="minorHAnsi" w:hAnsiTheme="minorHAnsi" w:cstheme="minorHAnsi"/>
          <w:sz w:val="28"/>
          <w:szCs w:val="28"/>
          <w:lang w:val="el-GR"/>
        </w:rPr>
        <w:t>Οι εμπειρ</w:t>
      </w:r>
      <w:r w:rsidR="0035117E" w:rsidRPr="00215650">
        <w:rPr>
          <w:rFonts w:asciiTheme="minorHAnsi" w:hAnsiTheme="minorHAnsi" w:cstheme="minorHAnsi"/>
          <w:sz w:val="28"/>
          <w:szCs w:val="28"/>
          <w:lang w:val="el-GR"/>
        </w:rPr>
        <w:t>ογ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νώμονες της ΕΕ στα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l-GR"/>
        </w:rPr>
        <w:t>βιοομοειδή</w:t>
      </w:r>
      <w:proofErr w:type="spellEnd"/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5E016F" w:rsidRPr="00215650">
        <w:rPr>
          <w:rFonts w:asciiTheme="minorHAnsi" w:hAnsiTheme="minorHAnsi" w:cstheme="minorHAnsi"/>
          <w:sz w:val="28"/>
          <w:szCs w:val="28"/>
          <w:lang w:val="el-GR"/>
        </w:rPr>
        <w:t>φάρμακα</w:t>
      </w:r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(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Biosimilar</w:t>
      </w:r>
      <w:proofErr w:type="spellEnd"/>
      <w:r w:rsidR="00B674D9" w:rsidRPr="00B674D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>Medicines</w:t>
      </w:r>
      <w:r w:rsidR="00B674D9" w:rsidRPr="00B674D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>Working</w:t>
      </w:r>
      <w:r w:rsidR="00B674D9" w:rsidRPr="00B674D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>Party</w:t>
      </w:r>
      <w:r w:rsidR="000F740F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>BMWP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) &amp;</w:t>
      </w:r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>Heads</w:t>
      </w:r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>of</w:t>
      </w:r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>Medicines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’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>Agencies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(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>HMA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)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Biosimilar</w:t>
      </w:r>
      <w:proofErr w:type="spellEnd"/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>Working</w:t>
      </w:r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>Group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συνέταξαν κοινή δήλωση </w:t>
      </w:r>
      <w:r w:rsidR="00363A5E" w:rsidRPr="00215650">
        <w:rPr>
          <w:rFonts w:asciiTheme="minorHAnsi" w:hAnsiTheme="minorHAnsi" w:cstheme="minorHAnsi"/>
          <w:sz w:val="28"/>
          <w:szCs w:val="28"/>
          <w:lang w:val="el-GR"/>
        </w:rPr>
        <w:t>όπου</w:t>
      </w:r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363A5E" w:rsidRPr="00215650">
        <w:rPr>
          <w:rFonts w:asciiTheme="minorHAnsi" w:hAnsiTheme="minorHAnsi" w:cstheme="minorHAnsi"/>
          <w:sz w:val="28"/>
          <w:szCs w:val="28"/>
          <w:lang w:val="el-GR"/>
        </w:rPr>
        <w:t>εξηγούν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το σ</w:t>
      </w:r>
      <w:r w:rsidR="005E016F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κεπτικό με το οποίο θεωρούν τα </w:t>
      </w:r>
      <w:proofErr w:type="spellStart"/>
      <w:r w:rsidR="005E016F" w:rsidRPr="00215650">
        <w:rPr>
          <w:rFonts w:asciiTheme="minorHAnsi" w:hAnsiTheme="minorHAnsi" w:cstheme="minorHAnsi"/>
          <w:sz w:val="28"/>
          <w:szCs w:val="28"/>
          <w:lang w:val="el-GR"/>
        </w:rPr>
        <w:t>βιο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ομοειδ</w:t>
      </w:r>
      <w:r w:rsidR="005E016F" w:rsidRPr="00215650">
        <w:rPr>
          <w:rFonts w:asciiTheme="minorHAnsi" w:hAnsiTheme="minorHAnsi" w:cstheme="minorHAnsi"/>
          <w:sz w:val="28"/>
          <w:szCs w:val="28"/>
          <w:lang w:val="el-GR"/>
        </w:rPr>
        <w:t>ή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στην ΕΕ ως ανταλλάξιμα από επιστημονικής </w:t>
      </w:r>
      <w:r w:rsidR="00363A5E" w:rsidRPr="00215650">
        <w:rPr>
          <w:rFonts w:asciiTheme="minorHAnsi" w:hAnsiTheme="minorHAnsi" w:cstheme="minorHAnsi"/>
          <w:sz w:val="28"/>
          <w:szCs w:val="28"/>
          <w:lang w:val="el-GR"/>
        </w:rPr>
        <w:t>άποψης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. Η</w:t>
      </w:r>
      <w:r w:rsidR="00F36AA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δήλωση</w:t>
      </w:r>
      <w:r w:rsidR="00F36AA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έχει</w:t>
      </w:r>
      <w:r w:rsidR="00F36AA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λάβει</w:t>
      </w:r>
      <w:r w:rsidR="00F36AA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την</w:t>
      </w:r>
      <w:r w:rsidR="00F36AA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έγκριση</w:t>
      </w:r>
      <w:r w:rsidR="00F36AA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της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 Committee for Medicinal Products for Human Use (CHMP)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και</w:t>
      </w:r>
      <w:r w:rsidR="00F36AA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63A5E" w:rsidRPr="00215650">
        <w:rPr>
          <w:rFonts w:asciiTheme="minorHAnsi" w:hAnsiTheme="minorHAnsi" w:cstheme="minorHAnsi"/>
          <w:sz w:val="28"/>
          <w:szCs w:val="28"/>
          <w:lang w:val="el-GR"/>
        </w:rPr>
        <w:t>του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 Biological Working Party (BWP).</w:t>
      </w:r>
    </w:p>
    <w:p w:rsidR="005833C8" w:rsidRPr="00215650" w:rsidRDefault="005833C8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5833C8" w:rsidRPr="00215650" w:rsidRDefault="005833C8" w:rsidP="005C09CE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b/>
          <w:sz w:val="28"/>
          <w:szCs w:val="28"/>
          <w:lang w:val="el-GR"/>
        </w:rPr>
        <w:t xml:space="preserve">Κοινή δήλωση </w:t>
      </w:r>
      <w:r w:rsidRPr="00215650">
        <w:rPr>
          <w:rFonts w:asciiTheme="minorHAnsi" w:hAnsiTheme="minorHAnsi" w:cstheme="minorHAnsi"/>
          <w:b/>
          <w:sz w:val="28"/>
          <w:szCs w:val="28"/>
          <w:lang w:val="en-US"/>
        </w:rPr>
        <w:t>EMA</w:t>
      </w:r>
      <w:r w:rsidR="00947707" w:rsidRPr="00947707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 w:rsidR="00947707">
        <w:rPr>
          <w:rFonts w:asciiTheme="minorHAnsi" w:hAnsiTheme="minorHAnsi" w:cstheme="minorHAnsi"/>
          <w:b/>
          <w:sz w:val="28"/>
          <w:szCs w:val="28"/>
          <w:lang w:val="el-GR"/>
        </w:rPr>
        <w:t>–</w:t>
      </w:r>
      <w:r w:rsidR="00947707" w:rsidRPr="00947707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 w:rsidRPr="00215650">
        <w:rPr>
          <w:rFonts w:asciiTheme="minorHAnsi" w:hAnsiTheme="minorHAnsi" w:cstheme="minorHAnsi"/>
          <w:b/>
          <w:sz w:val="28"/>
          <w:szCs w:val="28"/>
          <w:lang w:val="en-US"/>
        </w:rPr>
        <w:t>HMA</w:t>
      </w:r>
      <w:r w:rsidR="00947707" w:rsidRPr="00947707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 w:rsidR="000A0B44" w:rsidRPr="00215650">
        <w:rPr>
          <w:rFonts w:asciiTheme="minorHAnsi" w:hAnsiTheme="minorHAnsi" w:cstheme="minorHAnsi"/>
          <w:b/>
          <w:sz w:val="28"/>
          <w:szCs w:val="28"/>
          <w:lang w:val="el-GR"/>
        </w:rPr>
        <w:t xml:space="preserve">για </w:t>
      </w:r>
      <w:r w:rsidRPr="00215650">
        <w:rPr>
          <w:rFonts w:asciiTheme="minorHAnsi" w:hAnsiTheme="minorHAnsi" w:cstheme="minorHAnsi"/>
          <w:b/>
          <w:sz w:val="28"/>
          <w:szCs w:val="28"/>
          <w:lang w:val="el-GR"/>
        </w:rPr>
        <w:t xml:space="preserve">την </w:t>
      </w:r>
      <w:proofErr w:type="spellStart"/>
      <w:r w:rsidRPr="0091382D">
        <w:rPr>
          <w:rFonts w:asciiTheme="minorHAnsi" w:hAnsiTheme="minorHAnsi" w:cstheme="minorHAnsi"/>
          <w:b/>
          <w:i/>
          <w:sz w:val="28"/>
          <w:szCs w:val="28"/>
          <w:lang w:val="el-GR"/>
        </w:rPr>
        <w:t>ανταλλαξιμότητα</w:t>
      </w:r>
      <w:proofErr w:type="spellEnd"/>
      <w:r w:rsidR="00947707" w:rsidRPr="00947707">
        <w:rPr>
          <w:rFonts w:asciiTheme="minorHAnsi" w:hAnsiTheme="minorHAnsi" w:cstheme="minorHAnsi"/>
          <w:b/>
          <w:i/>
          <w:sz w:val="28"/>
          <w:szCs w:val="28"/>
          <w:lang w:val="el-GR"/>
        </w:rPr>
        <w:t xml:space="preserve"> </w:t>
      </w:r>
      <w:r w:rsidR="00F36AA6" w:rsidRPr="00F36AA6">
        <w:rPr>
          <w:rFonts w:asciiTheme="minorHAnsi" w:hAnsiTheme="minorHAnsi" w:cstheme="minorHAnsi"/>
          <w:b/>
          <w:i/>
          <w:sz w:val="28"/>
          <w:szCs w:val="28"/>
          <w:lang w:val="el-GR"/>
        </w:rPr>
        <w:t xml:space="preserve"> </w:t>
      </w:r>
      <w:r w:rsidR="0091382D" w:rsidRPr="0091382D">
        <w:rPr>
          <w:rFonts w:asciiTheme="minorHAnsi" w:hAnsiTheme="minorHAnsi" w:cstheme="minorHAnsi"/>
          <w:b/>
          <w:i/>
          <w:sz w:val="28"/>
          <w:szCs w:val="28"/>
          <w:lang w:val="el-GR"/>
        </w:rPr>
        <w:t>(</w:t>
      </w:r>
      <w:proofErr w:type="spellStart"/>
      <w:r w:rsidR="0091382D" w:rsidRPr="0091382D">
        <w:rPr>
          <w:rFonts w:asciiTheme="minorHAnsi" w:hAnsiTheme="minorHAnsi" w:cstheme="minorHAnsi"/>
          <w:b/>
          <w:i/>
          <w:sz w:val="28"/>
          <w:szCs w:val="28"/>
          <w:lang w:val="el-GR"/>
        </w:rPr>
        <w:t>interchangeability</w:t>
      </w:r>
      <w:proofErr w:type="spellEnd"/>
      <w:r w:rsidR="0091382D" w:rsidRPr="0091382D">
        <w:rPr>
          <w:rFonts w:asciiTheme="minorHAnsi" w:hAnsiTheme="minorHAnsi" w:cstheme="minorHAnsi"/>
          <w:b/>
          <w:i/>
          <w:sz w:val="28"/>
          <w:szCs w:val="28"/>
          <w:lang w:val="el-GR"/>
        </w:rPr>
        <w:t>)</w:t>
      </w:r>
      <w:r w:rsidR="00363A5E" w:rsidRPr="0091382D">
        <w:rPr>
          <w:rFonts w:asciiTheme="minorHAnsi" w:hAnsiTheme="minorHAnsi" w:cstheme="minorHAnsi"/>
          <w:b/>
          <w:i/>
          <w:sz w:val="28"/>
          <w:szCs w:val="28"/>
          <w:lang w:val="el-GR"/>
        </w:rPr>
        <w:t>:</w:t>
      </w:r>
    </w:p>
    <w:p w:rsidR="005833C8" w:rsidRPr="00215650" w:rsidRDefault="00363A5E" w:rsidP="005C09CE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b/>
          <w:sz w:val="28"/>
          <w:szCs w:val="28"/>
          <w:lang w:val="el-GR"/>
        </w:rPr>
        <w:t xml:space="preserve">Τα εγκεκριμένα στην ΕΕ </w:t>
      </w:r>
      <w:proofErr w:type="spellStart"/>
      <w:r w:rsidRPr="00215650">
        <w:rPr>
          <w:rFonts w:asciiTheme="minorHAnsi" w:hAnsiTheme="minorHAnsi" w:cstheme="minorHAnsi"/>
          <w:b/>
          <w:sz w:val="28"/>
          <w:szCs w:val="28"/>
          <w:lang w:val="el-GR"/>
        </w:rPr>
        <w:t>βιο</w:t>
      </w:r>
      <w:r w:rsidR="005833C8" w:rsidRPr="00215650">
        <w:rPr>
          <w:rFonts w:asciiTheme="minorHAnsi" w:hAnsiTheme="minorHAnsi" w:cstheme="minorHAnsi"/>
          <w:b/>
          <w:sz w:val="28"/>
          <w:szCs w:val="28"/>
          <w:lang w:val="el-GR"/>
        </w:rPr>
        <w:t>ομοειδή</w:t>
      </w:r>
      <w:proofErr w:type="spellEnd"/>
      <w:r w:rsidR="005833C8" w:rsidRPr="00215650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είναι ανταλλάξιμα</w:t>
      </w:r>
    </w:p>
    <w:p w:rsidR="0035117E" w:rsidRPr="00215650" w:rsidRDefault="0035117E" w:rsidP="005C09CE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35117E" w:rsidRPr="00215650" w:rsidRDefault="0035117E" w:rsidP="005C09CE">
      <w:pPr>
        <w:spacing w:line="360" w:lineRule="auto"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Η </w:t>
      </w:r>
      <w:proofErr w:type="spellStart"/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>ανταλλαξιμότητα</w:t>
      </w:r>
      <w:proofErr w:type="spellEnd"/>
      <w:r w:rsidR="00F36AA6" w:rsidRPr="00F36AA6">
        <w:rPr>
          <w:rFonts w:asciiTheme="minorHAnsi" w:hAnsiTheme="minorHAnsi" w:cstheme="minorHAnsi"/>
          <w:i/>
          <w:sz w:val="28"/>
          <w:szCs w:val="28"/>
          <w:lang w:val="el-GR"/>
        </w:rPr>
        <w:t xml:space="preserve"> </w:t>
      </w:r>
      <w:r w:rsidR="00363A5E" w:rsidRPr="00215650">
        <w:rPr>
          <w:rFonts w:asciiTheme="minorHAnsi" w:hAnsiTheme="minorHAnsi" w:cstheme="minorHAnsi"/>
          <w:i/>
          <w:sz w:val="28"/>
          <w:szCs w:val="28"/>
          <w:lang w:val="el-GR"/>
        </w:rPr>
        <w:t>(</w:t>
      </w:r>
      <w:r w:rsidR="00363A5E" w:rsidRPr="00215650">
        <w:rPr>
          <w:rFonts w:asciiTheme="minorHAnsi" w:hAnsiTheme="minorHAnsi" w:cstheme="minorHAnsi"/>
          <w:i/>
          <w:sz w:val="28"/>
          <w:szCs w:val="28"/>
          <w:lang w:val="en-US"/>
        </w:rPr>
        <w:t>interchangeability</w:t>
      </w:r>
      <w:r w:rsidR="00363A5E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) </w:t>
      </w:r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>αναφέρεται στη δυνατότητα ανταλλαγή</w:t>
      </w:r>
      <w:r w:rsidR="00BD1E3D" w:rsidRPr="00215650">
        <w:rPr>
          <w:rFonts w:asciiTheme="minorHAnsi" w:hAnsiTheme="minorHAnsi" w:cstheme="minorHAnsi"/>
          <w:i/>
          <w:sz w:val="28"/>
          <w:szCs w:val="28"/>
          <w:lang w:val="el-GR"/>
        </w:rPr>
        <w:t>ς</w:t>
      </w:r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ενός φαρμάκου με ένα άλλο φάρμακο το οποίο αναμένεται να έχει το ίδιο κλινικό αποτέλεσμα.</w:t>
      </w:r>
    </w:p>
    <w:p w:rsidR="00B65930" w:rsidRPr="00215650" w:rsidRDefault="00B65930" w:rsidP="005C09CE">
      <w:pPr>
        <w:spacing w:line="360" w:lineRule="auto"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</w:p>
    <w:p w:rsidR="0035117E" w:rsidRPr="00215650" w:rsidRDefault="0035117E" w:rsidP="005C09CE">
      <w:pPr>
        <w:spacing w:line="360" w:lineRule="auto"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ΗΜΑ και ΕΜΑ θεωρούν ότι </w:t>
      </w:r>
      <w:r w:rsidR="00363A5E" w:rsidRPr="00215650">
        <w:rPr>
          <w:rFonts w:asciiTheme="minorHAnsi" w:hAnsiTheme="minorHAnsi" w:cstheme="minorHAnsi"/>
          <w:i/>
          <w:sz w:val="28"/>
          <w:szCs w:val="28"/>
          <w:lang w:val="el-GR"/>
        </w:rPr>
        <w:t>αφού</w:t>
      </w:r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ένα </w:t>
      </w:r>
      <w:proofErr w:type="spellStart"/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>βιοομοειδές</w:t>
      </w:r>
      <w:proofErr w:type="spellEnd"/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ε</w:t>
      </w:r>
      <w:r w:rsidR="00363A5E" w:rsidRPr="00215650">
        <w:rPr>
          <w:rFonts w:asciiTheme="minorHAnsi" w:hAnsiTheme="minorHAnsi" w:cstheme="minorHAnsi"/>
          <w:i/>
          <w:sz w:val="28"/>
          <w:szCs w:val="28"/>
          <w:lang w:val="el-GR"/>
        </w:rPr>
        <w:t>γκριθεί</w:t>
      </w:r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στην ΕΕ</w:t>
      </w:r>
      <w:r w:rsidR="00BD1E3D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, </w:t>
      </w:r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>είναι αν</w:t>
      </w:r>
      <w:r w:rsidR="00BD1E3D" w:rsidRPr="00215650">
        <w:rPr>
          <w:rFonts w:asciiTheme="minorHAnsi" w:hAnsiTheme="minorHAnsi" w:cstheme="minorHAnsi"/>
          <w:i/>
          <w:sz w:val="28"/>
          <w:szCs w:val="28"/>
          <w:lang w:val="el-GR"/>
        </w:rPr>
        <w:t>τα</w:t>
      </w:r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λλάξιμο, </w:t>
      </w:r>
      <w:r w:rsidR="00363A5E" w:rsidRPr="00215650">
        <w:rPr>
          <w:rFonts w:asciiTheme="minorHAnsi" w:hAnsiTheme="minorHAnsi" w:cstheme="minorHAnsi"/>
          <w:i/>
          <w:sz w:val="28"/>
          <w:szCs w:val="28"/>
          <w:lang w:val="el-GR"/>
        </w:rPr>
        <w:t>με την έννοια ότι</w:t>
      </w:r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το </w:t>
      </w:r>
      <w:proofErr w:type="spellStart"/>
      <w:r w:rsidR="00A0128C" w:rsidRPr="00215650">
        <w:rPr>
          <w:rFonts w:asciiTheme="minorHAnsi" w:hAnsiTheme="minorHAnsi" w:cstheme="minorHAnsi"/>
          <w:i/>
          <w:sz w:val="28"/>
          <w:szCs w:val="28"/>
          <w:lang w:val="el-GR"/>
        </w:rPr>
        <w:t>βιοομοειδές</w:t>
      </w:r>
      <w:proofErr w:type="spellEnd"/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μπορεί να χρησιμοποιηθεί αντί του προϊόντος αναφοράς </w:t>
      </w:r>
      <w:r w:rsidR="00BD1E3D" w:rsidRPr="00215650">
        <w:rPr>
          <w:rFonts w:asciiTheme="minorHAnsi" w:hAnsiTheme="minorHAnsi" w:cstheme="minorHAnsi"/>
          <w:i/>
          <w:sz w:val="28"/>
          <w:szCs w:val="28"/>
          <w:lang w:val="el-GR"/>
        </w:rPr>
        <w:t>(</w:t>
      </w:r>
      <w:r w:rsidR="00B65930" w:rsidRPr="00215650">
        <w:rPr>
          <w:rFonts w:asciiTheme="minorHAnsi" w:hAnsiTheme="minorHAnsi" w:cstheme="minorHAnsi"/>
          <w:i/>
          <w:sz w:val="28"/>
          <w:szCs w:val="28"/>
          <w:lang w:val="el-GR"/>
        </w:rPr>
        <w:t>ή</w:t>
      </w:r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αντίστροφα</w:t>
      </w:r>
      <w:r w:rsidR="00BD1E3D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) ή ένα </w:t>
      </w:r>
      <w:proofErr w:type="spellStart"/>
      <w:r w:rsidR="00A0128C" w:rsidRPr="00215650">
        <w:rPr>
          <w:rFonts w:asciiTheme="minorHAnsi" w:hAnsiTheme="minorHAnsi" w:cstheme="minorHAnsi"/>
          <w:i/>
          <w:sz w:val="28"/>
          <w:szCs w:val="28"/>
          <w:lang w:val="el-GR"/>
        </w:rPr>
        <w:t>βιοομοειδές</w:t>
      </w:r>
      <w:proofErr w:type="spellEnd"/>
      <w:r w:rsidR="00BD1E3D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μπορεί να αντικατασταθεί από άλλο </w:t>
      </w:r>
      <w:proofErr w:type="spellStart"/>
      <w:r w:rsidR="00A0128C" w:rsidRPr="00215650">
        <w:rPr>
          <w:rFonts w:asciiTheme="minorHAnsi" w:hAnsiTheme="minorHAnsi" w:cstheme="minorHAnsi"/>
          <w:i/>
          <w:sz w:val="28"/>
          <w:szCs w:val="28"/>
          <w:lang w:val="el-GR"/>
        </w:rPr>
        <w:t>βιοομοειδές</w:t>
      </w:r>
      <w:proofErr w:type="spellEnd"/>
      <w:r w:rsidR="00F36AA6" w:rsidRPr="00F36AA6">
        <w:rPr>
          <w:rFonts w:asciiTheme="minorHAnsi" w:hAnsiTheme="minorHAnsi" w:cstheme="minorHAnsi"/>
          <w:i/>
          <w:sz w:val="28"/>
          <w:szCs w:val="28"/>
          <w:lang w:val="el-GR"/>
        </w:rPr>
        <w:t xml:space="preserve"> </w:t>
      </w:r>
      <w:r w:rsidR="00363A5E" w:rsidRPr="00215650">
        <w:rPr>
          <w:rFonts w:asciiTheme="minorHAnsi" w:hAnsiTheme="minorHAnsi" w:cstheme="minorHAnsi"/>
          <w:i/>
          <w:sz w:val="28"/>
          <w:szCs w:val="28"/>
          <w:lang w:val="el-GR"/>
        </w:rPr>
        <w:t>του ίδιου</w:t>
      </w:r>
      <w:r w:rsidR="00F36AA6" w:rsidRPr="00F36AA6">
        <w:rPr>
          <w:rFonts w:asciiTheme="minorHAnsi" w:hAnsiTheme="minorHAnsi" w:cstheme="minorHAnsi"/>
          <w:i/>
          <w:sz w:val="28"/>
          <w:szCs w:val="28"/>
          <w:lang w:val="el-GR"/>
        </w:rPr>
        <w:t xml:space="preserve"> </w:t>
      </w:r>
      <w:r w:rsidR="00B65930" w:rsidRPr="00215650">
        <w:rPr>
          <w:rFonts w:asciiTheme="minorHAnsi" w:hAnsiTheme="minorHAnsi" w:cstheme="minorHAnsi"/>
          <w:i/>
          <w:sz w:val="28"/>
          <w:szCs w:val="28"/>
          <w:lang w:val="el-GR"/>
        </w:rPr>
        <w:t>προϊόν</w:t>
      </w:r>
      <w:r w:rsidR="00363A5E" w:rsidRPr="00215650">
        <w:rPr>
          <w:rFonts w:asciiTheme="minorHAnsi" w:hAnsiTheme="minorHAnsi" w:cstheme="minorHAnsi"/>
          <w:i/>
          <w:sz w:val="28"/>
          <w:szCs w:val="28"/>
          <w:lang w:val="el-GR"/>
        </w:rPr>
        <w:t>τος</w:t>
      </w:r>
      <w:r w:rsidR="00BD1E3D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αναφοράς.</w:t>
      </w:r>
    </w:p>
    <w:p w:rsidR="00B65930" w:rsidRPr="00215650" w:rsidRDefault="00B65930" w:rsidP="005C09CE">
      <w:pPr>
        <w:spacing w:line="360" w:lineRule="auto"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</w:p>
    <w:p w:rsidR="00BD1E3D" w:rsidRPr="00215650" w:rsidRDefault="00B65930" w:rsidP="005C09CE">
      <w:pPr>
        <w:spacing w:line="360" w:lineRule="auto"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lastRenderedPageBreak/>
        <w:t>Οι α</w:t>
      </w:r>
      <w:r w:rsidR="00BD1E3D" w:rsidRPr="00215650">
        <w:rPr>
          <w:rFonts w:asciiTheme="minorHAnsi" w:hAnsiTheme="minorHAnsi" w:cstheme="minorHAnsi"/>
          <w:i/>
          <w:sz w:val="28"/>
          <w:szCs w:val="28"/>
          <w:lang w:val="el-GR"/>
        </w:rPr>
        <w:t>ποφάσεις</w:t>
      </w:r>
      <w:r w:rsidR="0075492E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που αφορούντην πρακτική </w:t>
      </w:r>
      <w:r w:rsidR="00A0128C" w:rsidRPr="00215650">
        <w:rPr>
          <w:rFonts w:asciiTheme="minorHAnsi" w:hAnsiTheme="minorHAnsi" w:cstheme="minorHAnsi"/>
          <w:i/>
          <w:sz w:val="28"/>
          <w:szCs w:val="28"/>
          <w:lang w:val="el-GR"/>
        </w:rPr>
        <w:t>χορήγησης</w:t>
      </w:r>
      <w:r w:rsidR="0075492E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ενός φαρμάκου αντί άλλου χωρίς τη γνώμη του </w:t>
      </w:r>
      <w:proofErr w:type="spellStart"/>
      <w:r w:rsidR="0075492E" w:rsidRPr="00215650">
        <w:rPr>
          <w:rFonts w:asciiTheme="minorHAnsi" w:hAnsiTheme="minorHAnsi" w:cstheme="minorHAnsi"/>
          <w:i/>
          <w:sz w:val="28"/>
          <w:szCs w:val="28"/>
          <w:lang w:val="el-GR"/>
        </w:rPr>
        <w:t>συνταγογράφου</w:t>
      </w:r>
      <w:proofErr w:type="spellEnd"/>
      <w:r w:rsidR="0075492E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ιατρού (υποκατάσταση/</w:t>
      </w:r>
      <w:r w:rsidRPr="00215650">
        <w:rPr>
          <w:rFonts w:asciiTheme="minorHAnsi" w:hAnsiTheme="minorHAnsi" w:cstheme="minorHAnsi"/>
          <w:i/>
          <w:sz w:val="28"/>
          <w:szCs w:val="28"/>
          <w:lang w:val="en-US"/>
        </w:rPr>
        <w:t>substitution</w:t>
      </w:r>
      <w:r w:rsidR="0075492E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) </w:t>
      </w:r>
      <w:r w:rsidR="00A0128C" w:rsidRPr="00215650">
        <w:rPr>
          <w:rFonts w:asciiTheme="minorHAnsi" w:hAnsiTheme="minorHAnsi" w:cstheme="minorHAnsi"/>
          <w:i/>
          <w:sz w:val="28"/>
          <w:szCs w:val="28"/>
          <w:lang w:val="el-GR"/>
        </w:rPr>
        <w:t>είναι εκτός της</w:t>
      </w:r>
      <w:r w:rsidR="00BD1E3D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δικαιοδοσία</w:t>
      </w:r>
      <w:r w:rsidR="00A0128C" w:rsidRPr="00215650">
        <w:rPr>
          <w:rFonts w:asciiTheme="minorHAnsi" w:hAnsiTheme="minorHAnsi" w:cstheme="minorHAnsi"/>
          <w:i/>
          <w:sz w:val="28"/>
          <w:szCs w:val="28"/>
          <w:lang w:val="el-GR"/>
        </w:rPr>
        <w:t>ς</w:t>
      </w:r>
      <w:r w:rsidR="00BD1E3D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του ΕΜΑ και </w:t>
      </w:r>
      <w:r w:rsidR="000A0B44" w:rsidRPr="00215650">
        <w:rPr>
          <w:rFonts w:asciiTheme="minorHAnsi" w:hAnsiTheme="minorHAnsi" w:cstheme="minorHAnsi"/>
          <w:i/>
          <w:sz w:val="28"/>
          <w:szCs w:val="28"/>
          <w:lang w:val="el-GR"/>
        </w:rPr>
        <w:t>λαμβάνονται</w:t>
      </w:r>
      <w:r w:rsidR="00BD1E3D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από τ</w:t>
      </w:r>
      <w:r w:rsidR="0075492E" w:rsidRPr="00215650">
        <w:rPr>
          <w:rFonts w:asciiTheme="minorHAnsi" w:hAnsiTheme="minorHAnsi" w:cstheme="minorHAnsi"/>
          <w:i/>
          <w:sz w:val="28"/>
          <w:szCs w:val="28"/>
          <w:lang w:val="el-GR"/>
        </w:rPr>
        <w:t>ο κάθε</w:t>
      </w:r>
      <w:r w:rsidR="00BD1E3D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 κ-μ.</w:t>
      </w:r>
    </w:p>
    <w:p w:rsidR="00BD1E3D" w:rsidRPr="00215650" w:rsidRDefault="00BD1E3D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BD1E3D" w:rsidRPr="00215650" w:rsidRDefault="00BD1E3D" w:rsidP="005C09CE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b/>
          <w:sz w:val="28"/>
          <w:szCs w:val="28"/>
          <w:lang w:val="el-GR"/>
        </w:rPr>
        <w:t>Ιστορικό</w:t>
      </w:r>
    </w:p>
    <w:p w:rsidR="00BD1E3D" w:rsidRPr="00215650" w:rsidRDefault="00BD1E3D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Η </w:t>
      </w:r>
      <w:proofErr w:type="spellStart"/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>ανταλλαξιμότητα</w:t>
      </w:r>
      <w:proofErr w:type="spellEnd"/>
      <w:r w:rsidR="00F36AA6" w:rsidRPr="00F36AA6">
        <w:rPr>
          <w:rFonts w:asciiTheme="minorHAnsi" w:hAnsiTheme="minorHAnsi" w:cstheme="minorHAnsi"/>
          <w:i/>
          <w:sz w:val="28"/>
          <w:szCs w:val="28"/>
          <w:lang w:val="el-GR"/>
        </w:rPr>
        <w:t xml:space="preserve"> </w:t>
      </w:r>
      <w:r w:rsidR="0091382D" w:rsidRPr="00215650">
        <w:rPr>
          <w:rFonts w:asciiTheme="minorHAnsi" w:hAnsiTheme="minorHAnsi" w:cstheme="minorHAnsi"/>
          <w:i/>
          <w:sz w:val="28"/>
          <w:szCs w:val="28"/>
          <w:lang w:val="el-GR"/>
        </w:rPr>
        <w:t>(</w:t>
      </w:r>
      <w:r w:rsidR="0091382D" w:rsidRPr="00215650">
        <w:rPr>
          <w:rFonts w:asciiTheme="minorHAnsi" w:hAnsiTheme="minorHAnsi" w:cstheme="minorHAnsi"/>
          <w:i/>
          <w:sz w:val="28"/>
          <w:szCs w:val="28"/>
          <w:lang w:val="en-US"/>
        </w:rPr>
        <w:t>interchangeability</w:t>
      </w:r>
      <w:r w:rsidR="0091382D">
        <w:rPr>
          <w:rFonts w:asciiTheme="minorHAnsi" w:hAnsiTheme="minorHAnsi" w:cstheme="minorHAnsi"/>
          <w:i/>
          <w:sz w:val="28"/>
          <w:szCs w:val="28"/>
          <w:lang w:val="el-GR"/>
        </w:rPr>
        <w:t>)</w:t>
      </w:r>
      <w:r w:rsidR="003543E1" w:rsidRPr="00215650">
        <w:rPr>
          <w:rFonts w:asciiTheme="minorHAnsi" w:hAnsiTheme="minorHAnsi" w:cstheme="minorHAnsi"/>
          <w:sz w:val="28"/>
          <w:szCs w:val="28"/>
          <w:lang w:val="el-GR"/>
        </w:rPr>
        <w:t>,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στο πλαίσιο αυτής της δήλωσης</w:t>
      </w:r>
      <w:r w:rsidR="003543E1" w:rsidRPr="00215650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>ορίζεται ως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χρήση ενός φαρμάκουαντί άλλου με το</w:t>
      </w:r>
      <w:r w:rsidR="00A0128C" w:rsidRPr="00215650">
        <w:rPr>
          <w:rFonts w:asciiTheme="minorHAnsi" w:hAnsiTheme="minorHAnsi" w:cstheme="minorHAnsi"/>
          <w:sz w:val="28"/>
          <w:szCs w:val="28"/>
          <w:lang w:val="el-GR"/>
        </w:rPr>
        <w:t>ν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ίδιο </w:t>
      </w:r>
      <w:r w:rsidR="003543E1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θεραπευτικό </w:t>
      </w:r>
      <w:r w:rsidR="00A0128C" w:rsidRPr="00215650">
        <w:rPr>
          <w:rFonts w:asciiTheme="minorHAnsi" w:hAnsiTheme="minorHAnsi" w:cstheme="minorHAnsi"/>
          <w:sz w:val="28"/>
          <w:szCs w:val="28"/>
          <w:lang w:val="el-GR"/>
        </w:rPr>
        <w:t>στόχο</w:t>
      </w:r>
      <w:r w:rsidR="003543E1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. Αυτός ο ορισμός δεν περιλαμβάνει την </w:t>
      </w:r>
      <w:r w:rsidR="003543E1" w:rsidRPr="00215650">
        <w:rPr>
          <w:rFonts w:asciiTheme="minorHAnsi" w:hAnsiTheme="minorHAnsi" w:cstheme="minorHAnsi"/>
          <w:i/>
          <w:sz w:val="28"/>
          <w:szCs w:val="28"/>
          <w:lang w:val="el-GR"/>
        </w:rPr>
        <w:t>αυτόματη υποκατάσταση</w:t>
      </w:r>
      <w:r w:rsidR="003543E1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σε επίπεδο φαρμακείου, για την οποία αποφασίζει 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ανεξάρτητα </w:t>
      </w:r>
      <w:r w:rsidR="003543E1" w:rsidRPr="00215650">
        <w:rPr>
          <w:rFonts w:asciiTheme="minorHAnsi" w:hAnsiTheme="minorHAnsi" w:cstheme="minorHAnsi"/>
          <w:sz w:val="28"/>
          <w:szCs w:val="28"/>
          <w:lang w:val="el-GR"/>
        </w:rPr>
        <w:t>κάθε κ-μ.</w:t>
      </w:r>
    </w:p>
    <w:p w:rsidR="003543E1" w:rsidRPr="00215650" w:rsidRDefault="003543E1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Ως τώρα, τα </w:t>
      </w:r>
      <w:proofErr w:type="spellStart"/>
      <w:r w:rsidR="00D11FCD" w:rsidRPr="00D11FCD">
        <w:rPr>
          <w:rFonts w:asciiTheme="minorHAnsi" w:hAnsiTheme="minorHAnsi" w:cstheme="minorHAnsi"/>
          <w:sz w:val="28"/>
          <w:szCs w:val="28"/>
          <w:lang w:val="el-GR"/>
        </w:rPr>
        <w:t>βιοομοειδή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που εγκρίνοντα</w:t>
      </w:r>
      <w:r w:rsidR="00C539D9" w:rsidRPr="00215650">
        <w:rPr>
          <w:rFonts w:asciiTheme="minorHAnsi" w:hAnsiTheme="minorHAnsi" w:cstheme="minorHAnsi"/>
          <w:sz w:val="28"/>
          <w:szCs w:val="28"/>
          <w:lang w:val="el-GR"/>
        </w:rPr>
        <w:t>ι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μέσω του ΕΜΑ μπορούσαν να χρησιμοποιηθούν ως ανταλλάξιμα αν 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το επέτρεπε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η ρυθμιστική αρχή του κ-μ. Από επιστημονικής </w:t>
      </w:r>
      <w:r w:rsidR="00C539D9" w:rsidRPr="00215650">
        <w:rPr>
          <w:rFonts w:asciiTheme="minorHAnsi" w:hAnsiTheme="minorHAnsi" w:cstheme="minorHAnsi"/>
          <w:sz w:val="28"/>
          <w:szCs w:val="28"/>
          <w:lang w:val="el-GR"/>
        </w:rPr>
        <w:t>άποψης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η </w:t>
      </w:r>
      <w:proofErr w:type="spellStart"/>
      <w:r w:rsidRPr="00215650">
        <w:rPr>
          <w:rFonts w:asciiTheme="minorHAnsi" w:hAnsiTheme="minorHAnsi" w:cstheme="minorHAnsi"/>
          <w:i/>
          <w:sz w:val="28"/>
          <w:szCs w:val="28"/>
          <w:lang w:val="el-GR"/>
        </w:rPr>
        <w:t>ανταλλαξιμότητα</w:t>
      </w:r>
      <w:proofErr w:type="spellEnd"/>
      <w:r w:rsidR="00F36AA6" w:rsidRPr="00F36AA6">
        <w:rPr>
          <w:rFonts w:asciiTheme="minorHAnsi" w:hAnsiTheme="minorHAnsi" w:cstheme="minorHAnsi"/>
          <w:i/>
          <w:sz w:val="28"/>
          <w:szCs w:val="28"/>
          <w:lang w:val="el-GR"/>
        </w:rPr>
        <w:t xml:space="preserve"> 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l-GR"/>
        </w:rPr>
        <w:t>(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n-US"/>
        </w:rPr>
        <w:t>interchangeability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l-GR"/>
        </w:rPr>
        <w:t xml:space="preserve">)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των </w:t>
      </w:r>
      <w:r w:rsidR="00C539D9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εγκεκριμένων </w:t>
      </w:r>
      <w:proofErr w:type="spellStart"/>
      <w:r w:rsidR="00A0128C" w:rsidRPr="00215650">
        <w:rPr>
          <w:rFonts w:asciiTheme="minorHAnsi" w:hAnsiTheme="minorHAnsi" w:cstheme="minorHAnsi"/>
          <w:sz w:val="28"/>
          <w:szCs w:val="28"/>
          <w:lang w:val="el-GR"/>
        </w:rPr>
        <w:t>βιοομοειδών</w:t>
      </w:r>
      <w:proofErr w:type="spellEnd"/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8B65A9" w:rsidRPr="00215650">
        <w:rPr>
          <w:rFonts w:asciiTheme="minorHAnsi" w:hAnsiTheme="minorHAnsi" w:cstheme="minorHAnsi"/>
          <w:sz w:val="28"/>
          <w:szCs w:val="28"/>
          <w:lang w:val="el-GR"/>
        </w:rPr>
        <w:t>θεωρ</w:t>
      </w:r>
      <w:r w:rsidR="00C539D9" w:rsidRPr="00215650">
        <w:rPr>
          <w:rFonts w:asciiTheme="minorHAnsi" w:hAnsiTheme="minorHAnsi" w:cstheme="minorHAnsi"/>
          <w:sz w:val="28"/>
          <w:szCs w:val="28"/>
          <w:lang w:val="el-GR"/>
        </w:rPr>
        <w:t>είται ανέκαθεν</w:t>
      </w:r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αποδεκτή χωρί</w:t>
      </w:r>
      <w:r w:rsidR="008B65A9" w:rsidRPr="00215650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C539D9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τη διατύπωση επιφυλάξεων</w:t>
      </w:r>
      <w:r w:rsidR="008B65A9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(1)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. Εντούτοις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ο ΕΜΑ δεν είχε εκδώσει κάποια σύσταση</w:t>
      </w:r>
      <w:r w:rsidR="00C539D9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σχετικά με την </w:t>
      </w:r>
      <w:proofErr w:type="spellStart"/>
      <w:r w:rsidR="00C539D9" w:rsidRPr="0091382D">
        <w:rPr>
          <w:rFonts w:asciiTheme="minorHAnsi" w:hAnsiTheme="minorHAnsi" w:cstheme="minorHAnsi"/>
          <w:i/>
          <w:sz w:val="28"/>
          <w:szCs w:val="28"/>
          <w:lang w:val="el-GR"/>
        </w:rPr>
        <w:t>ανταλλαξιμότητα</w:t>
      </w:r>
      <w:proofErr w:type="spellEnd"/>
      <w:r w:rsidR="00F36AA6" w:rsidRPr="00F36AA6">
        <w:rPr>
          <w:rFonts w:asciiTheme="minorHAnsi" w:hAnsiTheme="minorHAnsi" w:cstheme="minorHAnsi"/>
          <w:i/>
          <w:sz w:val="28"/>
          <w:szCs w:val="28"/>
          <w:lang w:val="el-GR"/>
        </w:rPr>
        <w:t xml:space="preserve"> 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l-GR"/>
        </w:rPr>
        <w:t>(</w:t>
      </w:r>
      <w:proofErr w:type="spellStart"/>
      <w:r w:rsidR="0091382D" w:rsidRPr="0091382D">
        <w:rPr>
          <w:rFonts w:asciiTheme="minorHAnsi" w:hAnsiTheme="minorHAnsi" w:cstheme="minorHAnsi"/>
          <w:i/>
          <w:sz w:val="28"/>
          <w:szCs w:val="28"/>
          <w:lang w:val="el-GR"/>
        </w:rPr>
        <w:t>interchangeability</w:t>
      </w:r>
      <w:proofErr w:type="spellEnd"/>
      <w:r w:rsidR="0091382D" w:rsidRPr="0091382D">
        <w:rPr>
          <w:rFonts w:asciiTheme="minorHAnsi" w:hAnsiTheme="minorHAnsi" w:cstheme="minorHAnsi"/>
          <w:i/>
          <w:sz w:val="28"/>
          <w:szCs w:val="28"/>
          <w:lang w:val="el-GR"/>
        </w:rPr>
        <w:t>)</w:t>
      </w:r>
      <w:r w:rsidR="000F740F">
        <w:rPr>
          <w:rFonts w:asciiTheme="minorHAnsi" w:hAnsiTheme="minorHAnsi" w:cstheme="minorHAnsi"/>
          <w:i/>
          <w:sz w:val="28"/>
          <w:szCs w:val="28"/>
          <w:lang w:val="el-GR"/>
        </w:rPr>
        <w:t>,</w:t>
      </w:r>
      <w:r w:rsidR="00C539D9" w:rsidRPr="00215650">
        <w:rPr>
          <w:rFonts w:asciiTheme="minorHAnsi" w:hAnsiTheme="minorHAnsi" w:cstheme="minorHAnsi"/>
          <w:sz w:val="28"/>
          <w:szCs w:val="28"/>
          <w:lang w:val="el-GR"/>
        </w:rPr>
        <w:t>ως τώρα.</w:t>
      </w:r>
    </w:p>
    <w:p w:rsidR="003543E1" w:rsidRPr="00215650" w:rsidRDefault="00C539D9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sz w:val="28"/>
          <w:szCs w:val="28"/>
          <w:lang w:val="el-GR"/>
        </w:rPr>
        <w:t>Σήμερα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>,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το δίκτυο των ρυθμιστικών αρχών της ΕΕ</w:t>
      </w:r>
      <w:r w:rsidR="003543E1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για τα φάρμακα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διαπιστώνει </w:t>
      </w:r>
      <w:r w:rsidR="003543E1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την ανάγκη </w:t>
      </w:r>
      <w:r w:rsidR="008B65A9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για μία 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>σαφή</w:t>
      </w:r>
      <w:r w:rsidR="008B65A9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δήλωση σύμφωνα με την οποία, από επιστημονικής πλευράς, τα εγκεκριμένα στην ΕΕ </w:t>
      </w:r>
      <w:proofErr w:type="spellStart"/>
      <w:r w:rsidR="009A0A6C" w:rsidRPr="00215650">
        <w:rPr>
          <w:rFonts w:asciiTheme="minorHAnsi" w:hAnsiTheme="minorHAnsi" w:cstheme="minorHAnsi"/>
          <w:sz w:val="28"/>
          <w:szCs w:val="28"/>
          <w:lang w:val="el-GR"/>
        </w:rPr>
        <w:t>βιοομοειδή</w:t>
      </w:r>
      <w:proofErr w:type="spellEnd"/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>θεωρούνται</w:t>
      </w:r>
      <w:r w:rsidR="008B65A9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ανταλλάξιμα. Αυτό </w:t>
      </w:r>
      <w:r w:rsidR="009A0A6C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κρίθηκε σκόπιμο διότι η </w:t>
      </w:r>
      <w:r w:rsidR="008B65A9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απουσία μέχρι σήμερα μίας σαφούς πανευρωπαϊκής δήλωσης για την </w:t>
      </w:r>
      <w:proofErr w:type="spellStart"/>
      <w:r w:rsidR="008B65A9" w:rsidRPr="0091382D">
        <w:rPr>
          <w:rFonts w:asciiTheme="minorHAnsi" w:hAnsiTheme="minorHAnsi" w:cstheme="minorHAnsi"/>
          <w:i/>
          <w:sz w:val="28"/>
          <w:szCs w:val="28"/>
          <w:lang w:val="el-GR"/>
        </w:rPr>
        <w:t>ανταλλαξιμότητα</w:t>
      </w:r>
      <w:proofErr w:type="spellEnd"/>
      <w:r w:rsidR="00F36AA6" w:rsidRPr="00F36AA6">
        <w:rPr>
          <w:rFonts w:asciiTheme="minorHAnsi" w:hAnsiTheme="minorHAnsi" w:cstheme="minorHAnsi"/>
          <w:i/>
          <w:sz w:val="28"/>
          <w:szCs w:val="28"/>
          <w:lang w:val="el-GR"/>
        </w:rPr>
        <w:t xml:space="preserve"> 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l-GR"/>
        </w:rPr>
        <w:t>(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n-US"/>
        </w:rPr>
        <w:t>interchangeability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l-GR"/>
        </w:rPr>
        <w:t xml:space="preserve">) </w:t>
      </w:r>
      <w:r w:rsidR="006340FA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συνδέθηκε αιτιολογικά με </w:t>
      </w:r>
      <w:r w:rsidR="008B65A9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την αβεβαιότητα των εμπλεκόμενων φορέων ως προς τη χρήση των </w:t>
      </w:r>
      <w:proofErr w:type="spellStart"/>
      <w:r w:rsidR="009A0A6C" w:rsidRPr="00215650">
        <w:rPr>
          <w:rFonts w:asciiTheme="minorHAnsi" w:hAnsiTheme="minorHAnsi" w:cstheme="minorHAnsi"/>
          <w:sz w:val="28"/>
          <w:szCs w:val="28"/>
          <w:lang w:val="el-GR"/>
        </w:rPr>
        <w:t>βιοομοειδών</w:t>
      </w:r>
      <w:proofErr w:type="spellEnd"/>
      <w:r w:rsidR="008B65A9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στην κλινική πρακτική (2).</w:t>
      </w:r>
    </w:p>
    <w:p w:rsidR="006340FA" w:rsidRPr="00215650" w:rsidRDefault="006340FA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sz w:val="28"/>
          <w:szCs w:val="28"/>
          <w:lang w:val="el-GR"/>
        </w:rPr>
        <w:lastRenderedPageBreak/>
        <w:t>Κατά συνέπεια</w:t>
      </w:r>
      <w:r w:rsidR="009A0A6C" w:rsidRPr="00215650">
        <w:rPr>
          <w:rFonts w:asciiTheme="minorHAnsi" w:hAnsiTheme="minorHAnsi" w:cstheme="minorHAnsi"/>
          <w:sz w:val="28"/>
          <w:szCs w:val="28"/>
          <w:lang w:val="el-GR"/>
        </w:rPr>
        <w:t>,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ο ΕΜΑ και οι ΗΜΑ θεωρούν ότι μία </w:t>
      </w:r>
      <w:r w:rsidR="009A0A6C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σαφής, εναρμονισμένη, πανευρωπαϊκή 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>θέση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για την </w:t>
      </w:r>
      <w:proofErr w:type="spellStart"/>
      <w:r w:rsidRPr="0091382D">
        <w:rPr>
          <w:rFonts w:asciiTheme="minorHAnsi" w:hAnsiTheme="minorHAnsi" w:cstheme="minorHAnsi"/>
          <w:i/>
          <w:sz w:val="28"/>
          <w:szCs w:val="28"/>
          <w:lang w:val="el-GR"/>
        </w:rPr>
        <w:t>ανταλλαξιμότητα</w:t>
      </w:r>
      <w:proofErr w:type="spellEnd"/>
      <w:r w:rsidR="00F36AA6" w:rsidRPr="00F36AA6">
        <w:rPr>
          <w:rFonts w:asciiTheme="minorHAnsi" w:hAnsiTheme="minorHAnsi" w:cstheme="minorHAnsi"/>
          <w:i/>
          <w:sz w:val="28"/>
          <w:szCs w:val="28"/>
          <w:lang w:val="el-GR"/>
        </w:rPr>
        <w:t xml:space="preserve"> 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l-GR"/>
        </w:rPr>
        <w:t>(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n-US"/>
        </w:rPr>
        <w:t>interchangeability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l-GR"/>
        </w:rPr>
        <w:t xml:space="preserve">)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είναι απαραίτητη για να περιορίσει οποιαδήποτε αβεβαιότητα των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l-GR"/>
        </w:rPr>
        <w:t>συνταγογράφων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ιατρών όταν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l-GR"/>
        </w:rPr>
        <w:t>συνταγογραφούν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βιολογικά φάρμακα.</w:t>
      </w:r>
    </w:p>
    <w:p w:rsidR="006340FA" w:rsidRPr="00215650" w:rsidRDefault="006340FA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6340FA" w:rsidRPr="00215650" w:rsidRDefault="006340FA" w:rsidP="005C09CE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b/>
          <w:sz w:val="28"/>
          <w:szCs w:val="28"/>
          <w:lang w:val="el-GR"/>
        </w:rPr>
        <w:t>Επιστημονικό σκεπτικό</w:t>
      </w:r>
    </w:p>
    <w:p w:rsidR="006340FA" w:rsidRPr="00215650" w:rsidRDefault="006340FA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sz w:val="28"/>
          <w:szCs w:val="28"/>
          <w:lang w:val="el-GR"/>
        </w:rPr>
        <w:t>Το Ευρωπαϊκό ρυθμιστικό πλαίσιο αξιολογ</w:t>
      </w:r>
      <w:r w:rsidR="00037842" w:rsidRPr="00215650">
        <w:rPr>
          <w:rFonts w:asciiTheme="minorHAnsi" w:hAnsiTheme="minorHAnsi" w:cstheme="minorHAnsi"/>
          <w:sz w:val="28"/>
          <w:szCs w:val="28"/>
          <w:lang w:val="el-GR"/>
        </w:rPr>
        <w:t>εί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, εγκρίνει και παρακολουθ</w:t>
      </w:r>
      <w:r w:rsidR="00037842" w:rsidRPr="00215650">
        <w:rPr>
          <w:rFonts w:asciiTheme="minorHAnsi" w:hAnsiTheme="minorHAnsi" w:cstheme="minorHAnsi"/>
          <w:sz w:val="28"/>
          <w:szCs w:val="28"/>
          <w:lang w:val="el-GR"/>
        </w:rPr>
        <w:t>εί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τα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l-GR"/>
        </w:rPr>
        <w:t>βι</w:t>
      </w:r>
      <w:r w:rsidR="008C006D" w:rsidRPr="00215650">
        <w:rPr>
          <w:rFonts w:asciiTheme="minorHAnsi" w:hAnsiTheme="minorHAnsi" w:cstheme="minorHAnsi"/>
          <w:sz w:val="28"/>
          <w:szCs w:val="28"/>
          <w:lang w:val="el-GR"/>
        </w:rPr>
        <w:t>ο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ομοειδή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για περ</w:t>
      </w:r>
      <w:r w:rsidR="008C006D" w:rsidRPr="00215650">
        <w:rPr>
          <w:rFonts w:asciiTheme="minorHAnsi" w:hAnsiTheme="minorHAnsi" w:cstheme="minorHAnsi"/>
          <w:sz w:val="28"/>
          <w:szCs w:val="28"/>
          <w:lang w:val="el-GR"/>
        </w:rPr>
        <w:t>ισσό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τ</w:t>
      </w:r>
      <w:r w:rsidR="008C006D" w:rsidRPr="00215650">
        <w:rPr>
          <w:rFonts w:asciiTheme="minorHAnsi" w:hAnsiTheme="minorHAnsi" w:cstheme="minorHAnsi"/>
          <w:sz w:val="28"/>
          <w:szCs w:val="28"/>
          <w:lang w:val="el-GR"/>
        </w:rPr>
        <w:t>ε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ρο από 15 χρόνια 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και διαθέτει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μία αδιαμφισβήτητη εμπειρία στα </w:t>
      </w:r>
      <w:proofErr w:type="spellStart"/>
      <w:r w:rsidR="00037842" w:rsidRPr="00215650">
        <w:rPr>
          <w:rFonts w:asciiTheme="minorHAnsi" w:hAnsiTheme="minorHAnsi" w:cstheme="minorHAnsi"/>
          <w:sz w:val="28"/>
          <w:szCs w:val="28"/>
          <w:lang w:val="el-GR"/>
        </w:rPr>
        <w:t>βιοομοειδή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έχοντας αξιολογήσει </w:t>
      </w:r>
      <w:r w:rsidR="000F740F">
        <w:rPr>
          <w:rFonts w:asciiTheme="minorHAnsi" w:hAnsiTheme="minorHAnsi" w:cstheme="minorHAnsi"/>
          <w:sz w:val="28"/>
          <w:szCs w:val="28"/>
          <w:lang w:val="el-GR"/>
        </w:rPr>
        <w:t xml:space="preserve"> περισσότερες από 100 αιτήσεις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για υποψήφια </w:t>
      </w:r>
      <w:proofErr w:type="spellStart"/>
      <w:r w:rsidR="00037842" w:rsidRPr="00215650">
        <w:rPr>
          <w:rFonts w:asciiTheme="minorHAnsi" w:hAnsiTheme="minorHAnsi" w:cstheme="minorHAnsi"/>
          <w:sz w:val="28"/>
          <w:szCs w:val="28"/>
          <w:lang w:val="el-GR"/>
        </w:rPr>
        <w:t>βιοομοειδή</w:t>
      </w:r>
      <w:proofErr w:type="spellEnd"/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037842" w:rsidRPr="00215650">
        <w:rPr>
          <w:rFonts w:asciiTheme="minorHAnsi" w:hAnsiTheme="minorHAnsi" w:cstheme="minorHAnsi"/>
          <w:sz w:val="28"/>
          <w:szCs w:val="28"/>
          <w:lang w:val="el-GR"/>
        </w:rPr>
        <w:t>και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παρακολουθήσει την ασφάλειά τους από τη</w:t>
      </w:r>
      <w:r w:rsidR="008C006D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ν έναρξη της κυκλοφορίας τους. </w:t>
      </w:r>
    </w:p>
    <w:p w:rsidR="008C006D" w:rsidRPr="00215650" w:rsidRDefault="004066A5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Η </w:t>
      </w:r>
      <w:r w:rsidR="008C006D" w:rsidRPr="00215650">
        <w:rPr>
          <w:rFonts w:asciiTheme="minorHAnsi" w:hAnsiTheme="minorHAnsi" w:cstheme="minorHAnsi"/>
          <w:sz w:val="28"/>
          <w:szCs w:val="28"/>
          <w:lang w:val="el-GR"/>
        </w:rPr>
        <w:t>αντικατάσταση μεταξύ βιολογικών φ</w:t>
      </w:r>
      <w:r w:rsidR="00037842" w:rsidRPr="00215650">
        <w:rPr>
          <w:rFonts w:asciiTheme="minorHAnsi" w:hAnsiTheme="minorHAnsi" w:cstheme="minorHAnsi"/>
          <w:sz w:val="28"/>
          <w:szCs w:val="28"/>
          <w:lang w:val="el-GR"/>
        </w:rPr>
        <w:t>αρμάκων</w:t>
      </w:r>
      <w:r w:rsidR="008C006D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που </w:t>
      </w:r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>παράγονται</w:t>
      </w:r>
      <w:r w:rsidR="008C006D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r w:rsidR="00037842" w:rsidRPr="00215650">
        <w:rPr>
          <w:rFonts w:asciiTheme="minorHAnsi" w:hAnsiTheme="minorHAnsi" w:cstheme="minorHAnsi"/>
          <w:sz w:val="28"/>
          <w:szCs w:val="28"/>
          <w:lang w:val="el-GR"/>
        </w:rPr>
        <w:t>διατ</w:t>
      </w:r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>ίθενται</w:t>
      </w:r>
      <w:r w:rsidR="00037842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στην αγορά από </w:t>
      </w:r>
      <w:r w:rsidR="008C006D" w:rsidRPr="00215650">
        <w:rPr>
          <w:rFonts w:asciiTheme="minorHAnsi" w:hAnsiTheme="minorHAnsi" w:cstheme="minorHAnsi"/>
          <w:sz w:val="28"/>
          <w:szCs w:val="28"/>
          <w:lang w:val="el-GR"/>
        </w:rPr>
        <w:t>διαφορετικ</w:t>
      </w:r>
      <w:r w:rsidR="00037842" w:rsidRPr="00215650">
        <w:rPr>
          <w:rFonts w:asciiTheme="minorHAnsi" w:hAnsiTheme="minorHAnsi" w:cstheme="minorHAnsi"/>
          <w:sz w:val="28"/>
          <w:szCs w:val="28"/>
          <w:lang w:val="el-GR"/>
        </w:rPr>
        <w:t>ές εταιρείες ε</w:t>
      </w:r>
      <w:r w:rsidR="008C006D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ίναι </w:t>
      </w:r>
      <w:r w:rsidR="00037842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πλέον </w:t>
      </w:r>
      <w:r w:rsidR="008C006D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κοινό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φαινόμενο </w:t>
      </w:r>
      <w:r w:rsidR="008C006D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στην κλινική πρακτική, και η </w:t>
      </w:r>
      <w:proofErr w:type="spellStart"/>
      <w:r w:rsidR="008C006D" w:rsidRPr="0091382D">
        <w:rPr>
          <w:rFonts w:asciiTheme="minorHAnsi" w:hAnsiTheme="minorHAnsi" w:cstheme="minorHAnsi"/>
          <w:i/>
          <w:sz w:val="28"/>
          <w:szCs w:val="28"/>
          <w:lang w:val="el-GR"/>
        </w:rPr>
        <w:t>ανταλλαξιμότητα</w:t>
      </w:r>
      <w:proofErr w:type="spellEnd"/>
      <w:r w:rsidR="00F36AA6" w:rsidRPr="00F36AA6">
        <w:rPr>
          <w:rFonts w:asciiTheme="minorHAnsi" w:hAnsiTheme="minorHAnsi" w:cstheme="minorHAnsi"/>
          <w:i/>
          <w:sz w:val="28"/>
          <w:szCs w:val="28"/>
          <w:lang w:val="el-GR"/>
        </w:rPr>
        <w:t xml:space="preserve"> </w:t>
      </w:r>
      <w:r w:rsidR="0091382D" w:rsidRPr="00215650">
        <w:rPr>
          <w:rFonts w:asciiTheme="minorHAnsi" w:hAnsiTheme="minorHAnsi" w:cstheme="minorHAnsi"/>
          <w:i/>
          <w:sz w:val="28"/>
          <w:szCs w:val="28"/>
          <w:lang w:val="el-GR"/>
        </w:rPr>
        <w:t>(</w:t>
      </w:r>
      <w:r w:rsidR="0091382D" w:rsidRPr="00215650">
        <w:rPr>
          <w:rFonts w:asciiTheme="minorHAnsi" w:hAnsiTheme="minorHAnsi" w:cstheme="minorHAnsi"/>
          <w:i/>
          <w:sz w:val="28"/>
          <w:szCs w:val="28"/>
          <w:lang w:val="en-US"/>
        </w:rPr>
        <w:t>interchangeability</w:t>
      </w:r>
      <w:r w:rsidR="0091382D" w:rsidRPr="00215650">
        <w:rPr>
          <w:rFonts w:asciiTheme="minorHAnsi" w:hAnsiTheme="minorHAnsi" w:cstheme="minorHAnsi"/>
          <w:i/>
          <w:sz w:val="28"/>
          <w:szCs w:val="28"/>
          <w:lang w:val="el-GR"/>
        </w:rPr>
        <w:t xml:space="preserve">)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των εγκεκριμένων στην ΕΕ </w:t>
      </w:r>
      <w:proofErr w:type="spellStart"/>
      <w:r w:rsidR="00037842" w:rsidRPr="00215650">
        <w:rPr>
          <w:rFonts w:asciiTheme="minorHAnsi" w:hAnsiTheme="minorHAnsi" w:cstheme="minorHAnsi"/>
          <w:sz w:val="28"/>
          <w:szCs w:val="28"/>
          <w:lang w:val="el-GR"/>
        </w:rPr>
        <w:t>βιοομοειδών</w:t>
      </w:r>
      <w:proofErr w:type="spellEnd"/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έχει επιβεβαιωθεί στην πράξη (1, 2, 3, 4).</w:t>
      </w:r>
    </w:p>
    <w:p w:rsidR="00B65930" w:rsidRPr="00215650" w:rsidRDefault="00D11FCD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Τα </w:t>
      </w:r>
      <w:r w:rsidR="004066A5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εγκεκριμένα </w:t>
      </w:r>
      <w:proofErr w:type="spellStart"/>
      <w:r w:rsidR="00037842" w:rsidRPr="00215650">
        <w:rPr>
          <w:rFonts w:asciiTheme="minorHAnsi" w:hAnsiTheme="minorHAnsi" w:cstheme="minorHAnsi"/>
          <w:sz w:val="28"/>
          <w:szCs w:val="28"/>
          <w:lang w:val="el-GR"/>
        </w:rPr>
        <w:t>βιοομοειδή</w:t>
      </w:r>
      <w:proofErr w:type="spellEnd"/>
      <w:r w:rsidR="004066A5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έχουν καταδείξει συγκρίσιμη αποτελεσματικότητα, ασφάλεια και </w:t>
      </w:r>
      <w:proofErr w:type="spellStart"/>
      <w:r w:rsidR="004066A5" w:rsidRPr="00215650">
        <w:rPr>
          <w:rFonts w:asciiTheme="minorHAnsi" w:hAnsiTheme="minorHAnsi" w:cstheme="minorHAnsi"/>
          <w:sz w:val="28"/>
          <w:szCs w:val="28"/>
          <w:lang w:val="el-GR"/>
        </w:rPr>
        <w:t>ανοσογονικότητα</w:t>
      </w:r>
      <w:proofErr w:type="spellEnd"/>
      <w:r w:rsidR="004066A5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σε σχέση με τα προϊόντα αναφοράς τους (5). Συν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>επώς</w:t>
      </w:r>
      <w:r w:rsidR="004066A5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οι Ευρωπαίοι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εμπειρογνώμονες θεωρούν ότι </w:t>
      </w:r>
      <w:r w:rsidR="004066A5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μετά την έγκριση ενός </w:t>
      </w:r>
      <w:proofErr w:type="spellStart"/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>βιοομοειδούς</w:t>
      </w:r>
      <w:proofErr w:type="spellEnd"/>
      <w:r w:rsidR="004066A5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στην ΕΕ, δεν απαιτούντ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αι </w:t>
      </w:r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>επιπλέον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συστηματικές μελέτες υποκατάστασης (</w:t>
      </w:r>
      <w:r w:rsidR="00AC4627" w:rsidRPr="00215650">
        <w:rPr>
          <w:rFonts w:asciiTheme="minorHAnsi" w:hAnsiTheme="minorHAnsi" w:cstheme="minorHAnsi"/>
          <w:sz w:val="28"/>
          <w:szCs w:val="28"/>
          <w:lang w:val="en-US"/>
        </w:rPr>
        <w:t>systematic</w:t>
      </w:r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B65930" w:rsidRPr="00215650">
        <w:rPr>
          <w:rFonts w:asciiTheme="minorHAnsi" w:hAnsiTheme="minorHAnsi" w:cstheme="minorHAnsi"/>
          <w:sz w:val="28"/>
          <w:szCs w:val="28"/>
          <w:lang w:val="en-US"/>
        </w:rPr>
        <w:t>switch</w:t>
      </w:r>
      <w:r w:rsidR="00F36AA6" w:rsidRPr="00F36AA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proofErr w:type="spellStart"/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>studies</w:t>
      </w:r>
      <w:proofErr w:type="spellEnd"/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>)</w:t>
      </w:r>
      <w:r w:rsidR="004066A5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για </w:t>
      </w:r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υποστήριξη της </w:t>
      </w:r>
      <w:proofErr w:type="spellStart"/>
      <w:r w:rsidR="004066A5" w:rsidRPr="0091382D">
        <w:rPr>
          <w:rFonts w:asciiTheme="minorHAnsi" w:hAnsiTheme="minorHAnsi" w:cstheme="minorHAnsi"/>
          <w:i/>
          <w:sz w:val="28"/>
          <w:szCs w:val="28"/>
          <w:lang w:val="el-GR"/>
        </w:rPr>
        <w:t>ανταλλαξιμότητα</w:t>
      </w:r>
      <w:r w:rsidR="00AC4627" w:rsidRPr="0091382D">
        <w:rPr>
          <w:rFonts w:asciiTheme="minorHAnsi" w:hAnsiTheme="minorHAnsi" w:cstheme="minorHAnsi"/>
          <w:i/>
          <w:sz w:val="28"/>
          <w:szCs w:val="28"/>
          <w:lang w:val="el-GR"/>
        </w:rPr>
        <w:t>ς</w:t>
      </w:r>
      <w:proofErr w:type="spellEnd"/>
      <w:r w:rsidR="00F36AA6" w:rsidRPr="00F36AA6">
        <w:rPr>
          <w:rFonts w:asciiTheme="minorHAnsi" w:hAnsiTheme="minorHAnsi" w:cstheme="minorHAnsi"/>
          <w:i/>
          <w:sz w:val="28"/>
          <w:szCs w:val="28"/>
          <w:lang w:val="el-GR"/>
        </w:rPr>
        <w:t xml:space="preserve"> 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l-GR"/>
        </w:rPr>
        <w:t>(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n-US"/>
        </w:rPr>
        <w:t>interchangeability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l-GR"/>
        </w:rPr>
        <w:t xml:space="preserve">) </w:t>
      </w:r>
      <w:r w:rsidR="004066A5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στο επίπεδο του </w:t>
      </w:r>
      <w:proofErr w:type="spellStart"/>
      <w:r w:rsidR="004066A5" w:rsidRPr="00215650">
        <w:rPr>
          <w:rFonts w:asciiTheme="minorHAnsi" w:hAnsiTheme="minorHAnsi" w:cstheme="minorHAnsi"/>
          <w:sz w:val="28"/>
          <w:szCs w:val="28"/>
          <w:lang w:val="el-GR"/>
        </w:rPr>
        <w:t>συνταγογράφου</w:t>
      </w:r>
      <w:proofErr w:type="spellEnd"/>
      <w:r w:rsidR="004066A5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ιατρ</w:t>
      </w:r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>ού</w:t>
      </w:r>
      <w:r w:rsidR="004066A5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4066A5" w:rsidRPr="00215650" w:rsidRDefault="004066A5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Λαμβάνοντας υπόψη όλα τα διαθέσιμα επιστημονικά δεδομένα  και την επιτυχή εμπειρία από τη χρήση των </w:t>
      </w:r>
      <w:proofErr w:type="spellStart"/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>βιοομοειδών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στην κλινική πρακτική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με την πάροδο των ετών, η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>CHMP</w:t>
      </w:r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και όλες οι ομάδες εργασίας με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ειδικότητα στα βιολογικά προϊόντα και  τα </w:t>
      </w:r>
      <w:proofErr w:type="spellStart"/>
      <w:r w:rsidR="000F740F" w:rsidRPr="000F740F">
        <w:rPr>
          <w:rFonts w:asciiTheme="minorHAnsi" w:hAnsiTheme="minorHAnsi" w:cstheme="minorHAnsi"/>
          <w:sz w:val="28"/>
          <w:szCs w:val="28"/>
          <w:lang w:val="el-GR"/>
        </w:rPr>
        <w:t>βιοομοειδ</w:t>
      </w:r>
      <w:r w:rsidR="000F740F">
        <w:rPr>
          <w:rFonts w:asciiTheme="minorHAnsi" w:hAnsiTheme="minorHAnsi" w:cstheme="minorHAnsi"/>
          <w:sz w:val="28"/>
          <w:szCs w:val="28"/>
          <w:lang w:val="el-GR"/>
        </w:rPr>
        <w:t>ή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υποστηρίζουν την άποψη ότι</w:t>
      </w:r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τα φάρμακα που εγκρίνονται ως </w:t>
      </w:r>
      <w:proofErr w:type="spellStart"/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>βιοομοειδή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στην ΕΕ μπορούν να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l-GR"/>
        </w:rPr>
        <w:t>συνταγογραφούνται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ως ανταλλάξιμα. Αυτό θα επιτρέψει </w:t>
      </w:r>
      <w:r w:rsidR="00E33181" w:rsidRPr="00215650">
        <w:rPr>
          <w:rFonts w:asciiTheme="minorHAnsi" w:hAnsiTheme="minorHAnsi" w:cstheme="minorHAnsi"/>
          <w:sz w:val="28"/>
          <w:szCs w:val="28"/>
          <w:lang w:val="el-GR"/>
        </w:rPr>
        <w:t>την πρόσβαση περισσότερων ασθενών σε βιολο</w:t>
      </w:r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>γικά φάρμακα απαραίτητα για τη αντιμετώπιση</w:t>
      </w:r>
      <w:r w:rsidR="00E33181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παθήσε</w:t>
      </w:r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>ων</w:t>
      </w:r>
      <w:r w:rsidR="00E33181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όπως καρκίνος, σακχ</w:t>
      </w:r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>αρώδης</w:t>
      </w:r>
      <w:r w:rsidR="00E33181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διαβήτης και ρευματοπάθειες.</w:t>
      </w:r>
    </w:p>
    <w:p w:rsidR="00E33181" w:rsidRPr="00215650" w:rsidRDefault="00E33181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sz w:val="28"/>
          <w:szCs w:val="28"/>
          <w:lang w:val="el-GR"/>
        </w:rPr>
        <w:t>Τα κ-μ θα συνεχίσουν να λαμβάνουν τις αποφάσεις σχετικά με τ</w:t>
      </w:r>
      <w:r w:rsidR="00AC4627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ο ποια βιολογικά φάρμακα είναι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διαθέσιμα για κάθε θεραπευτική κατηγορία και κατά πόσο είναι επιτρεπτή η </w:t>
      </w:r>
      <w:r w:rsidRPr="000F740F">
        <w:rPr>
          <w:rFonts w:asciiTheme="minorHAnsi" w:hAnsiTheme="minorHAnsi" w:cstheme="minorHAnsi"/>
          <w:i/>
          <w:sz w:val="28"/>
          <w:szCs w:val="28"/>
          <w:lang w:val="el-GR"/>
        </w:rPr>
        <w:t>αυτόματη υποκατάσταση (</w:t>
      </w:r>
      <w:r w:rsidRPr="000F740F">
        <w:rPr>
          <w:rFonts w:asciiTheme="minorHAnsi" w:hAnsiTheme="minorHAnsi" w:cstheme="minorHAnsi"/>
          <w:i/>
          <w:sz w:val="28"/>
          <w:szCs w:val="28"/>
          <w:lang w:val="en-US"/>
        </w:rPr>
        <w:t>autom</w:t>
      </w:r>
      <w:r w:rsidR="00B65930" w:rsidRPr="000F740F">
        <w:rPr>
          <w:rFonts w:asciiTheme="minorHAnsi" w:hAnsiTheme="minorHAnsi" w:cstheme="minorHAnsi"/>
          <w:i/>
          <w:sz w:val="28"/>
          <w:szCs w:val="28"/>
          <w:lang w:val="en-US"/>
        </w:rPr>
        <w:t>atic</w:t>
      </w:r>
      <w:r w:rsidR="000C7959">
        <w:rPr>
          <w:rFonts w:asciiTheme="minorHAnsi" w:hAnsiTheme="minorHAnsi" w:cstheme="minorHAnsi"/>
          <w:i/>
          <w:sz w:val="28"/>
          <w:szCs w:val="28"/>
          <w:lang w:val="el-GR"/>
        </w:rPr>
        <w:t xml:space="preserve"> </w:t>
      </w:r>
      <w:r w:rsidR="00B65930" w:rsidRPr="000F740F">
        <w:rPr>
          <w:rFonts w:asciiTheme="minorHAnsi" w:hAnsiTheme="minorHAnsi" w:cstheme="minorHAnsi"/>
          <w:i/>
          <w:sz w:val="28"/>
          <w:szCs w:val="28"/>
          <w:lang w:val="en-US"/>
        </w:rPr>
        <w:t>substitution</w:t>
      </w:r>
      <w:r w:rsidRPr="000F740F">
        <w:rPr>
          <w:rFonts w:asciiTheme="minorHAnsi" w:hAnsiTheme="minorHAnsi" w:cstheme="minorHAnsi"/>
          <w:i/>
          <w:sz w:val="28"/>
          <w:szCs w:val="28"/>
          <w:lang w:val="el-GR"/>
        </w:rPr>
        <w:t>)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σε επίπεδο φαρμακείου.</w:t>
      </w:r>
    </w:p>
    <w:p w:rsidR="00E33181" w:rsidRPr="00215650" w:rsidRDefault="00E33181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E33181" w:rsidRPr="00215650" w:rsidRDefault="00E33181" w:rsidP="005C09CE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b/>
          <w:sz w:val="28"/>
          <w:szCs w:val="28"/>
          <w:lang w:val="el-GR"/>
        </w:rPr>
        <w:t xml:space="preserve">Πηγές Πληροφόρησης για τα </w:t>
      </w:r>
      <w:proofErr w:type="spellStart"/>
      <w:r w:rsidR="00A214CD" w:rsidRPr="00215650">
        <w:rPr>
          <w:rFonts w:asciiTheme="minorHAnsi" w:hAnsiTheme="minorHAnsi" w:cstheme="minorHAnsi"/>
          <w:b/>
          <w:sz w:val="28"/>
          <w:szCs w:val="28"/>
          <w:lang w:val="el-GR"/>
        </w:rPr>
        <w:t>βιοομοειδή</w:t>
      </w:r>
      <w:proofErr w:type="spellEnd"/>
    </w:p>
    <w:p w:rsidR="000A0B44" w:rsidRPr="00215650" w:rsidRDefault="00A214CD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sz w:val="28"/>
          <w:szCs w:val="28"/>
          <w:lang w:val="el-GR"/>
        </w:rPr>
        <w:t>Οι</w:t>
      </w:r>
      <w:r w:rsidR="00E33181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ασθενείς και επαγγελματίες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υ</w:t>
      </w:r>
      <w:r w:rsidR="00E33181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γείας που έχουν συγκεκριμένα ερωτήματα </w:t>
      </w:r>
      <w:r w:rsidR="00B65930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αναφορικά με </w:t>
      </w:r>
      <w:r w:rsidR="00E33181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τις πρακτικές </w:t>
      </w:r>
      <w:proofErr w:type="spellStart"/>
      <w:r w:rsidR="00E33181" w:rsidRPr="0091382D">
        <w:rPr>
          <w:rFonts w:asciiTheme="minorHAnsi" w:hAnsiTheme="minorHAnsi" w:cstheme="minorHAnsi"/>
          <w:i/>
          <w:sz w:val="28"/>
          <w:szCs w:val="28"/>
          <w:lang w:val="el-GR"/>
        </w:rPr>
        <w:t>ανταλλαξιμότητας</w:t>
      </w:r>
      <w:proofErr w:type="spellEnd"/>
      <w:r w:rsidR="00F36AA6" w:rsidRPr="00F36AA6">
        <w:rPr>
          <w:rFonts w:asciiTheme="minorHAnsi" w:hAnsiTheme="minorHAnsi" w:cstheme="minorHAnsi"/>
          <w:i/>
          <w:sz w:val="28"/>
          <w:szCs w:val="28"/>
          <w:lang w:val="el-GR"/>
        </w:rPr>
        <w:t xml:space="preserve"> 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l-GR"/>
        </w:rPr>
        <w:t>(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n-US"/>
        </w:rPr>
        <w:t>interchangeability</w:t>
      </w:r>
      <w:r w:rsidR="0091382D" w:rsidRPr="0091382D">
        <w:rPr>
          <w:rFonts w:asciiTheme="minorHAnsi" w:hAnsiTheme="minorHAnsi" w:cstheme="minorHAnsi"/>
          <w:i/>
          <w:sz w:val="28"/>
          <w:szCs w:val="28"/>
          <w:lang w:val="el-GR"/>
        </w:rPr>
        <w:t xml:space="preserve">) 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>μπορούν</w:t>
      </w:r>
      <w:r w:rsidR="00E33181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να επικοινωνούν με τις αρμόδιες εθνικές αρχές για το φάρμακ</w:t>
      </w:r>
      <w:r w:rsidR="000A0B44" w:rsidRPr="00215650">
        <w:rPr>
          <w:rFonts w:asciiTheme="minorHAnsi" w:hAnsiTheme="minorHAnsi" w:cstheme="minorHAnsi"/>
          <w:sz w:val="28"/>
          <w:szCs w:val="28"/>
          <w:lang w:val="el-GR"/>
        </w:rPr>
        <w:t>ο</w:t>
      </w:r>
      <w:r w:rsidR="000F740F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0A0B44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στο αντίστοιχο</w:t>
      </w:r>
      <w:r w:rsidR="00E33181"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 κ-μ: </w:t>
      </w:r>
    </w:p>
    <w:p w:rsidR="000A0B44" w:rsidRPr="00215650" w:rsidRDefault="00C3733E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highlight w:val="yellow"/>
          <w:lang w:val="el-GR"/>
        </w:rPr>
      </w:pPr>
      <w:hyperlink r:id="rId6" w:history="1">
        <w:r w:rsidR="00463E57" w:rsidRPr="00215650">
          <w:rPr>
            <w:rStyle w:val="-"/>
            <w:rFonts w:asciiTheme="minorHAnsi" w:hAnsiTheme="minorHAnsi" w:cstheme="minorHAnsi"/>
            <w:sz w:val="28"/>
            <w:szCs w:val="28"/>
            <w:lang w:val="el-GR"/>
          </w:rPr>
          <w:t>https://www.ema.europa.eu/en/partners-networks/eu-partners/eu-member-states/national-competent-authorities-human</w:t>
        </w:r>
      </w:hyperlink>
    </w:p>
    <w:p w:rsidR="000A0B44" w:rsidRPr="00215650" w:rsidRDefault="000A0B44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E33181" w:rsidRPr="00215650" w:rsidRDefault="00E33181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Για ερωτήσεις σχετικά με την έγκριση και παρακολούθηση των </w:t>
      </w:r>
      <w:proofErr w:type="spellStart"/>
      <w:r w:rsidR="00D11FCD" w:rsidRPr="00D11FCD">
        <w:rPr>
          <w:rFonts w:asciiTheme="minorHAnsi" w:hAnsiTheme="minorHAnsi" w:cstheme="minorHAnsi"/>
          <w:sz w:val="28"/>
          <w:szCs w:val="28"/>
          <w:lang w:val="el-GR"/>
        </w:rPr>
        <w:t>βιοομοειδών</w:t>
      </w:r>
      <w:proofErr w:type="spellEnd"/>
      <w:r w:rsidRPr="00D11FCD">
        <w:rPr>
          <w:rFonts w:asciiTheme="minorHAnsi" w:hAnsiTheme="minorHAnsi" w:cstheme="minorHAnsi"/>
          <w:sz w:val="28"/>
          <w:szCs w:val="28"/>
          <w:lang w:val="el-GR"/>
        </w:rPr>
        <w:t xml:space="preserve"> στ</w:t>
      </w:r>
      <w:r w:rsidRPr="00215650">
        <w:rPr>
          <w:rFonts w:asciiTheme="minorHAnsi" w:hAnsiTheme="minorHAnsi" w:cstheme="minorHAnsi"/>
          <w:sz w:val="28"/>
          <w:szCs w:val="28"/>
          <w:lang w:val="el-GR"/>
        </w:rPr>
        <w:t xml:space="preserve">ην ΕΕ, ασθενείς και επαγγελματίες Υγείας μπορούν να επικοινωνούν με τον ΕΜΑ: </w:t>
      </w:r>
      <w:hyperlink r:id="rId7" w:history="1">
        <w:r w:rsidR="000A0B44" w:rsidRPr="00215650">
          <w:rPr>
            <w:rStyle w:val="-"/>
            <w:rFonts w:asciiTheme="minorHAnsi" w:hAnsiTheme="minorHAnsi" w:cstheme="minorHAnsi"/>
            <w:sz w:val="28"/>
            <w:szCs w:val="28"/>
            <w:lang w:val="el-GR"/>
          </w:rPr>
          <w:t>https://www.ema.europa.eu/en/about-us/contacts/send-question-european-medicines-agency</w:t>
        </w:r>
      </w:hyperlink>
    </w:p>
    <w:p w:rsidR="000A0B44" w:rsidRPr="00215650" w:rsidRDefault="000A0B44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F36AA6" w:rsidRPr="000C7959" w:rsidRDefault="00F36AA6" w:rsidP="005C09CE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:rsidR="00F36AA6" w:rsidRPr="000C7959" w:rsidRDefault="00F36AA6" w:rsidP="005C09CE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:rsidR="000A0B44" w:rsidRPr="00215650" w:rsidRDefault="000A0B44" w:rsidP="005C09C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15650"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 xml:space="preserve">References: </w:t>
      </w:r>
    </w:p>
    <w:p w:rsidR="000A0B44" w:rsidRPr="00215650" w:rsidRDefault="000A0B44" w:rsidP="005C09CE">
      <w:pPr>
        <w:spacing w:line="360" w:lineRule="auto"/>
        <w:ind w:left="426" w:hanging="285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1.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ab/>
        <w:t xml:space="preserve">Interchangeability of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Biosimilars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: A European Perspective.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Pekka</w:t>
      </w:r>
      <w:proofErr w:type="spellEnd"/>
      <w:r w:rsidR="00F36AA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Kurki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, Leon van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Aerts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>, Elena Wolff-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Holz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Thijs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Giezen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Venke</w:t>
      </w:r>
      <w:proofErr w:type="spellEnd"/>
      <w:r w:rsidR="00F36AA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Skibeli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gramStart"/>
      <w:r w:rsidRPr="00215650">
        <w:rPr>
          <w:rFonts w:asciiTheme="minorHAnsi" w:hAnsiTheme="minorHAnsi" w:cstheme="minorHAnsi"/>
          <w:sz w:val="28"/>
          <w:szCs w:val="28"/>
          <w:lang w:val="en-US"/>
        </w:rPr>
        <w:t>Martina</w:t>
      </w:r>
      <w:proofErr w:type="gram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 Weise.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BioDrugs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 2017 Apr</w:t>
      </w:r>
      <w:proofErr w:type="gramStart"/>
      <w:r w:rsidRPr="00215650">
        <w:rPr>
          <w:rFonts w:asciiTheme="minorHAnsi" w:hAnsiTheme="minorHAnsi" w:cstheme="minorHAnsi"/>
          <w:sz w:val="28"/>
          <w:szCs w:val="28"/>
          <w:lang w:val="en-US"/>
        </w:rPr>
        <w:t>;31</w:t>
      </w:r>
      <w:proofErr w:type="gram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(2):83-91 </w:t>
      </w:r>
    </w:p>
    <w:p w:rsidR="000A0B44" w:rsidRPr="00215650" w:rsidRDefault="000A0B44" w:rsidP="005C09CE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2.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ab/>
        <w:t xml:space="preserve">Regulatory Information and Guidance on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Biosimilars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 and Their Use </w:t>
      </w:r>
      <w:proofErr w:type="gramStart"/>
      <w:r w:rsidRPr="00215650">
        <w:rPr>
          <w:rFonts w:asciiTheme="minorHAnsi" w:hAnsiTheme="minorHAnsi" w:cstheme="minorHAnsi"/>
          <w:sz w:val="28"/>
          <w:szCs w:val="28"/>
          <w:lang w:val="en-US"/>
        </w:rPr>
        <w:t>Across</w:t>
      </w:r>
      <w:proofErr w:type="gram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 Europe: A Call for Strengthened One Voice messaging. </w:t>
      </w:r>
      <w:proofErr w:type="spellStart"/>
      <w:proofErr w:type="gramStart"/>
      <w:r w:rsidRPr="00215650">
        <w:rPr>
          <w:rFonts w:asciiTheme="minorHAnsi" w:hAnsiTheme="minorHAnsi" w:cstheme="minorHAnsi"/>
          <w:sz w:val="28"/>
          <w:szCs w:val="28"/>
          <w:lang w:val="en-US"/>
        </w:rPr>
        <w:t>Liese</w:t>
      </w:r>
      <w:proofErr w:type="spellEnd"/>
      <w:r w:rsidR="00F36AA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Barbier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Allary</w:t>
      </w:r>
      <w:proofErr w:type="spellEnd"/>
      <w:r w:rsidR="00F36AA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Mbuaki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, Steven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Simoens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, Paul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Declerck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, Arnold G.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Vulto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, and Isabelle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Huys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>.</w:t>
      </w:r>
      <w:proofErr w:type="gram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 Frontiers in Medicine 2022, Vol 9, 820755 </w:t>
      </w:r>
    </w:p>
    <w:p w:rsidR="000A0B44" w:rsidRPr="00215650" w:rsidRDefault="000A0B44" w:rsidP="005C09CE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3.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ab/>
        <w:t xml:space="preserve">Safety, Immunogenicity and Interchangeability of Biosimilar Monoclonal Antibodies and Fusion Proteins: A Regulatory Perspective.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Pekka</w:t>
      </w:r>
      <w:proofErr w:type="spellEnd"/>
      <w:r w:rsidR="00F36AA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Kurki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>, Sean Barry, Ingrid Bourges, Panagiota</w:t>
      </w:r>
      <w:r w:rsidR="00F36AA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Tsantili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>, Elena Wolff-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Holz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>. Drugs 2021 Nov</w:t>
      </w:r>
      <w:proofErr w:type="gramStart"/>
      <w:r w:rsidRPr="00215650">
        <w:rPr>
          <w:rFonts w:asciiTheme="minorHAnsi" w:hAnsiTheme="minorHAnsi" w:cstheme="minorHAnsi"/>
          <w:sz w:val="28"/>
          <w:szCs w:val="28"/>
          <w:lang w:val="en-US"/>
        </w:rPr>
        <w:t>;81</w:t>
      </w:r>
      <w:proofErr w:type="gram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(16):1881-1896 </w:t>
      </w:r>
    </w:p>
    <w:p w:rsidR="000A0B44" w:rsidRPr="00215650" w:rsidRDefault="000A0B44" w:rsidP="005C09CE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4.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ab/>
        <w:t xml:space="preserve">The safety of switching between therapeutic proteins.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Ebbers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 H,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Munzenberg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 M,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Schellekens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 H. Expert Opinion </w:t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BiolTher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>. 2012</w:t>
      </w:r>
      <w:proofErr w:type="gramStart"/>
      <w:r w:rsidRPr="00215650">
        <w:rPr>
          <w:rFonts w:asciiTheme="minorHAnsi" w:hAnsiTheme="minorHAnsi" w:cstheme="minorHAnsi"/>
          <w:sz w:val="28"/>
          <w:szCs w:val="28"/>
          <w:lang w:val="en-US"/>
        </w:rPr>
        <w:t>;12:1473</w:t>
      </w:r>
      <w:proofErr w:type="gramEnd"/>
      <w:r w:rsidRPr="00215650">
        <w:rPr>
          <w:rFonts w:asciiTheme="minorHAnsi" w:hAnsiTheme="minorHAnsi" w:cstheme="minorHAnsi"/>
          <w:sz w:val="28"/>
          <w:szCs w:val="28"/>
          <w:lang w:val="en-US"/>
        </w:rPr>
        <w:t>-85</w:t>
      </w:r>
    </w:p>
    <w:p w:rsidR="000A0B44" w:rsidRPr="00215650" w:rsidRDefault="000A0B44" w:rsidP="005C09CE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5. </w:t>
      </w:r>
      <w:r w:rsidRPr="00215650">
        <w:rPr>
          <w:rFonts w:asciiTheme="minorHAnsi" w:hAnsiTheme="minorHAnsi" w:cstheme="minorHAnsi"/>
          <w:sz w:val="28"/>
          <w:szCs w:val="28"/>
          <w:lang w:val="en-US"/>
        </w:rPr>
        <w:tab/>
      </w:r>
      <w:proofErr w:type="spellStart"/>
      <w:r w:rsidRPr="00215650">
        <w:rPr>
          <w:rFonts w:asciiTheme="minorHAnsi" w:hAnsiTheme="minorHAnsi" w:cstheme="minorHAnsi"/>
          <w:sz w:val="28"/>
          <w:szCs w:val="28"/>
          <w:lang w:val="en-US"/>
        </w:rPr>
        <w:t>Biosimilars</w:t>
      </w:r>
      <w:proofErr w:type="spellEnd"/>
      <w:r w:rsidRPr="00215650">
        <w:rPr>
          <w:rFonts w:asciiTheme="minorHAnsi" w:hAnsiTheme="minorHAnsi" w:cstheme="minorHAnsi"/>
          <w:sz w:val="28"/>
          <w:szCs w:val="28"/>
          <w:lang w:val="en-US"/>
        </w:rPr>
        <w:t xml:space="preserve"> in the EU - Information guide for healthcare professionals (europa.eu) </w:t>
      </w:r>
    </w:p>
    <w:p w:rsidR="000A0B44" w:rsidRPr="00215650" w:rsidRDefault="00C3733E" w:rsidP="005C09CE">
      <w:pPr>
        <w:spacing w:line="360" w:lineRule="auto"/>
        <w:ind w:left="426"/>
        <w:jc w:val="both"/>
        <w:rPr>
          <w:sz w:val="28"/>
          <w:szCs w:val="28"/>
          <w:lang w:val="en-US"/>
        </w:rPr>
      </w:pPr>
      <w:hyperlink r:id="rId8" w:history="1">
        <w:r w:rsidR="00463E57" w:rsidRPr="00215650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https://www.ema.europa.eu/en/documents/leaflet/biosimilars-eu-information-guide-healthcare-professionals_el.pdf</w:t>
        </w:r>
      </w:hyperlink>
    </w:p>
    <w:sectPr w:rsidR="000A0B44" w:rsidRPr="00215650" w:rsidSect="00CB66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01D0"/>
    <w:multiLevelType w:val="multilevel"/>
    <w:tmpl w:val="8BB2A294"/>
    <w:lvl w:ilvl="0">
      <w:start w:val="1"/>
      <w:numFmt w:val="upperRoman"/>
      <w:pStyle w:val="1"/>
      <w:lvlText w:val="%1"/>
      <w:lvlJc w:val="left"/>
      <w:pPr>
        <w:tabs>
          <w:tab w:val="num" w:pos="720"/>
        </w:tabs>
        <w:ind w:left="432" w:hanging="432"/>
      </w:pPr>
      <w:rPr>
        <w:lang w:val="el-GR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3C8"/>
    <w:rsid w:val="00037842"/>
    <w:rsid w:val="000A0B44"/>
    <w:rsid w:val="000C7959"/>
    <w:rsid w:val="000F740F"/>
    <w:rsid w:val="00195EB7"/>
    <w:rsid w:val="00215650"/>
    <w:rsid w:val="0033477E"/>
    <w:rsid w:val="0035117E"/>
    <w:rsid w:val="003543E1"/>
    <w:rsid w:val="00363A5E"/>
    <w:rsid w:val="00400B8B"/>
    <w:rsid w:val="004066A5"/>
    <w:rsid w:val="00463E57"/>
    <w:rsid w:val="005833C8"/>
    <w:rsid w:val="005C09CE"/>
    <w:rsid w:val="005E016F"/>
    <w:rsid w:val="005F15CC"/>
    <w:rsid w:val="006340FA"/>
    <w:rsid w:val="0068014D"/>
    <w:rsid w:val="0075492E"/>
    <w:rsid w:val="008B65A9"/>
    <w:rsid w:val="008C006D"/>
    <w:rsid w:val="0091382D"/>
    <w:rsid w:val="00947707"/>
    <w:rsid w:val="009A0A6C"/>
    <w:rsid w:val="00A0128C"/>
    <w:rsid w:val="00A214CD"/>
    <w:rsid w:val="00A60BB6"/>
    <w:rsid w:val="00A64F46"/>
    <w:rsid w:val="00AC4627"/>
    <w:rsid w:val="00B65930"/>
    <w:rsid w:val="00B674D9"/>
    <w:rsid w:val="00BD1E3D"/>
    <w:rsid w:val="00C3733E"/>
    <w:rsid w:val="00C539D9"/>
    <w:rsid w:val="00CB6608"/>
    <w:rsid w:val="00D11FCD"/>
    <w:rsid w:val="00E33181"/>
    <w:rsid w:val="00E8618B"/>
    <w:rsid w:val="00F36AA6"/>
    <w:rsid w:val="00FD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8B"/>
    <w:rPr>
      <w:lang w:val="nl-NL" w:eastAsia="nl-NL"/>
    </w:rPr>
  </w:style>
  <w:style w:type="paragraph" w:styleId="1">
    <w:name w:val="heading 1"/>
    <w:basedOn w:val="a"/>
    <w:next w:val="a"/>
    <w:link w:val="1Char"/>
    <w:qFormat/>
    <w:rsid w:val="00E8618B"/>
    <w:pPr>
      <w:keepNext/>
      <w:numPr>
        <w:numId w:val="9"/>
      </w:numPr>
      <w:spacing w:before="240" w:after="60"/>
      <w:outlineLvl w:val="0"/>
    </w:pPr>
    <w:rPr>
      <w:b/>
      <w:snapToGrid w:val="0"/>
      <w:kern w:val="28"/>
      <w:sz w:val="28"/>
    </w:rPr>
  </w:style>
  <w:style w:type="paragraph" w:styleId="2">
    <w:name w:val="heading 2"/>
    <w:basedOn w:val="a"/>
    <w:next w:val="a"/>
    <w:link w:val="2Char"/>
    <w:qFormat/>
    <w:rsid w:val="00E8618B"/>
    <w:pPr>
      <w:keepNext/>
      <w:numPr>
        <w:ilvl w:val="1"/>
        <w:numId w:val="9"/>
      </w:numPr>
      <w:spacing w:before="240" w:after="60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link w:val="3Char"/>
    <w:qFormat/>
    <w:rsid w:val="00E8618B"/>
    <w:pPr>
      <w:keepNext/>
      <w:numPr>
        <w:ilvl w:val="2"/>
        <w:numId w:val="9"/>
      </w:numPr>
      <w:outlineLvl w:val="2"/>
    </w:pPr>
    <w:rPr>
      <w:rFonts w:ascii="Arial" w:hAnsi="Arial"/>
      <w:u w:val="single"/>
    </w:rPr>
  </w:style>
  <w:style w:type="paragraph" w:styleId="4">
    <w:name w:val="heading 4"/>
    <w:basedOn w:val="a"/>
    <w:next w:val="a"/>
    <w:link w:val="4Char"/>
    <w:qFormat/>
    <w:rsid w:val="00E8618B"/>
    <w:pPr>
      <w:keepNext/>
      <w:numPr>
        <w:ilvl w:val="3"/>
        <w:numId w:val="9"/>
      </w:numPr>
      <w:outlineLvl w:val="3"/>
    </w:pPr>
    <w:rPr>
      <w:rFonts w:ascii="Arial" w:hAnsi="Arial"/>
      <w:sz w:val="24"/>
      <w:u w:val="single"/>
    </w:rPr>
  </w:style>
  <w:style w:type="paragraph" w:styleId="5">
    <w:name w:val="heading 5"/>
    <w:basedOn w:val="a"/>
    <w:next w:val="a"/>
    <w:link w:val="5Char"/>
    <w:qFormat/>
    <w:rsid w:val="00E8618B"/>
    <w:pPr>
      <w:keepNext/>
      <w:numPr>
        <w:ilvl w:val="4"/>
        <w:numId w:val="9"/>
      </w:numPr>
      <w:outlineLvl w:val="4"/>
    </w:pPr>
    <w:rPr>
      <w:rFonts w:ascii="Arial" w:hAnsi="Arial"/>
      <w:sz w:val="22"/>
      <w:u w:val="single"/>
    </w:rPr>
  </w:style>
  <w:style w:type="paragraph" w:styleId="6">
    <w:name w:val="heading 6"/>
    <w:basedOn w:val="a"/>
    <w:next w:val="a"/>
    <w:link w:val="6Char"/>
    <w:qFormat/>
    <w:rsid w:val="00E8618B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Char"/>
    <w:qFormat/>
    <w:rsid w:val="00E8618B"/>
    <w:pPr>
      <w:keepNext/>
      <w:numPr>
        <w:ilvl w:val="6"/>
        <w:numId w:val="9"/>
      </w:numPr>
      <w:tabs>
        <w:tab w:val="left" w:pos="851"/>
      </w:tabs>
      <w:outlineLvl w:val="6"/>
    </w:pPr>
    <w:rPr>
      <w:b/>
      <w:snapToGrid w:val="0"/>
      <w:sz w:val="28"/>
    </w:rPr>
  </w:style>
  <w:style w:type="paragraph" w:styleId="8">
    <w:name w:val="heading 8"/>
    <w:basedOn w:val="a"/>
    <w:next w:val="a"/>
    <w:link w:val="8Char"/>
    <w:qFormat/>
    <w:rsid w:val="00E8618B"/>
    <w:pPr>
      <w:keepNext/>
      <w:widowControl w:val="0"/>
      <w:numPr>
        <w:ilvl w:val="7"/>
        <w:numId w:val="9"/>
      </w:numPr>
      <w:tabs>
        <w:tab w:val="left" w:pos="851"/>
      </w:tabs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link w:val="9Char"/>
    <w:qFormat/>
    <w:rsid w:val="00E8618B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8618B"/>
    <w:rPr>
      <w:b/>
      <w:snapToGrid w:val="0"/>
      <w:kern w:val="28"/>
      <w:sz w:val="28"/>
      <w:lang w:val="nl-NL" w:eastAsia="nl-NL"/>
    </w:rPr>
  </w:style>
  <w:style w:type="character" w:customStyle="1" w:styleId="2Char">
    <w:name w:val="Επικεφαλίδα 2 Char"/>
    <w:basedOn w:val="a0"/>
    <w:link w:val="2"/>
    <w:rsid w:val="00E8618B"/>
    <w:rPr>
      <w:b/>
      <w:snapToGrid w:val="0"/>
      <w:sz w:val="24"/>
      <w:lang w:val="nl-NL" w:eastAsia="nl-NL"/>
    </w:rPr>
  </w:style>
  <w:style w:type="character" w:customStyle="1" w:styleId="3Char">
    <w:name w:val="Επικεφαλίδα 3 Char"/>
    <w:basedOn w:val="a0"/>
    <w:link w:val="3"/>
    <w:rsid w:val="00E8618B"/>
    <w:rPr>
      <w:rFonts w:ascii="Arial" w:hAnsi="Arial"/>
      <w:u w:val="single"/>
      <w:lang w:val="nl-NL" w:eastAsia="nl-NL"/>
    </w:rPr>
  </w:style>
  <w:style w:type="character" w:customStyle="1" w:styleId="4Char">
    <w:name w:val="Επικεφαλίδα 4 Char"/>
    <w:basedOn w:val="a0"/>
    <w:link w:val="4"/>
    <w:rsid w:val="00E8618B"/>
    <w:rPr>
      <w:rFonts w:ascii="Arial" w:hAnsi="Arial"/>
      <w:sz w:val="24"/>
      <w:u w:val="single"/>
      <w:lang w:val="nl-NL" w:eastAsia="nl-NL"/>
    </w:rPr>
  </w:style>
  <w:style w:type="character" w:customStyle="1" w:styleId="5Char">
    <w:name w:val="Επικεφαλίδα 5 Char"/>
    <w:basedOn w:val="a0"/>
    <w:link w:val="5"/>
    <w:rsid w:val="00E8618B"/>
    <w:rPr>
      <w:rFonts w:ascii="Arial" w:hAnsi="Arial"/>
      <w:sz w:val="22"/>
      <w:u w:val="single"/>
      <w:lang w:val="nl-NL" w:eastAsia="nl-NL"/>
    </w:rPr>
  </w:style>
  <w:style w:type="character" w:customStyle="1" w:styleId="6Char">
    <w:name w:val="Επικεφαλίδα 6 Char"/>
    <w:basedOn w:val="a0"/>
    <w:link w:val="6"/>
    <w:rsid w:val="00E8618B"/>
    <w:rPr>
      <w:rFonts w:ascii="Arial" w:hAnsi="Arial"/>
      <w:i/>
      <w:sz w:val="22"/>
      <w:lang w:val="nl-NL" w:eastAsia="nl-NL"/>
    </w:rPr>
  </w:style>
  <w:style w:type="character" w:customStyle="1" w:styleId="7Char">
    <w:name w:val="Επικεφαλίδα 7 Char"/>
    <w:basedOn w:val="a0"/>
    <w:link w:val="7"/>
    <w:rsid w:val="00E8618B"/>
    <w:rPr>
      <w:b/>
      <w:snapToGrid w:val="0"/>
      <w:sz w:val="28"/>
      <w:lang w:val="nl-NL" w:eastAsia="nl-NL"/>
    </w:rPr>
  </w:style>
  <w:style w:type="character" w:customStyle="1" w:styleId="8Char">
    <w:name w:val="Επικεφαλίδα 8 Char"/>
    <w:basedOn w:val="a0"/>
    <w:link w:val="8"/>
    <w:rsid w:val="00E8618B"/>
    <w:rPr>
      <w:b/>
      <w:snapToGrid w:val="0"/>
      <w:sz w:val="28"/>
      <w:lang w:val="nl-NL" w:eastAsia="nl-NL"/>
    </w:rPr>
  </w:style>
  <w:style w:type="character" w:customStyle="1" w:styleId="9Char">
    <w:name w:val="Επικεφαλίδα 9 Char"/>
    <w:basedOn w:val="a0"/>
    <w:link w:val="9"/>
    <w:rsid w:val="00E8618B"/>
    <w:rPr>
      <w:rFonts w:ascii="Arial" w:hAnsi="Arial"/>
      <w:b/>
      <w:i/>
      <w:sz w:val="18"/>
      <w:lang w:val="nl-NL" w:eastAsia="nl-NL"/>
    </w:rPr>
  </w:style>
  <w:style w:type="character" w:styleId="a3">
    <w:name w:val="Strong"/>
    <w:qFormat/>
    <w:rsid w:val="00E8618B"/>
    <w:rPr>
      <w:rFonts w:ascii="Arial" w:hAnsi="Arial"/>
      <w:b/>
    </w:rPr>
  </w:style>
  <w:style w:type="character" w:styleId="a4">
    <w:name w:val="Emphasis"/>
    <w:qFormat/>
    <w:rsid w:val="00E8618B"/>
    <w:rPr>
      <w:rFonts w:ascii="Arial" w:hAnsi="Arial"/>
      <w:i/>
      <w:sz w:val="20"/>
    </w:rPr>
  </w:style>
  <w:style w:type="paragraph" w:styleId="a5">
    <w:name w:val="List Paragraph"/>
    <w:basedOn w:val="a"/>
    <w:uiPriority w:val="34"/>
    <w:qFormat/>
    <w:rsid w:val="00E8618B"/>
    <w:pPr>
      <w:ind w:left="720"/>
    </w:pPr>
  </w:style>
  <w:style w:type="character" w:styleId="-">
    <w:name w:val="Hyperlink"/>
    <w:basedOn w:val="a0"/>
    <w:uiPriority w:val="99"/>
    <w:unhideWhenUsed/>
    <w:rsid w:val="000A0B44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0128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0128C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leaflet/biosimilars-eu-information-guide-healthcare-professionals_el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ma.europa.eu/en/about-us/contacts/send-question-european-medicines-agen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ma.europa.eu/en/partners-networks/eu-partners/eu-member-states/national-competent-authorities-huma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0576E-539C-464A-8951-51FB6594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TSANTILI</dc:creator>
  <cp:lastModifiedBy>PHARMAK14</cp:lastModifiedBy>
  <cp:revision>2</cp:revision>
  <cp:lastPrinted>2022-09-16T10:32:00Z</cp:lastPrinted>
  <dcterms:created xsi:type="dcterms:W3CDTF">2022-09-24T09:19:00Z</dcterms:created>
  <dcterms:modified xsi:type="dcterms:W3CDTF">2022-09-24T09:19:00Z</dcterms:modified>
</cp:coreProperties>
</file>